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70C0"/>
          <w:spacing w:val="0"/>
          <w:sz w:val="32"/>
          <w:szCs w:val="32"/>
          <w:shd w:val="clear" w:fill="FCFCFC"/>
        </w:rPr>
        <w:t>license授权文件申请</w:t>
      </w:r>
    </w:p>
    <w:p>
      <w:pPr>
        <w:rPr>
          <w:rFonts w:hint="default"/>
        </w:rPr>
      </w:pPr>
    </w:p>
    <w:p>
      <w:pPr>
        <w:pStyle w:val="2"/>
        <w:bidi w:val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default" w:ascii="微软雅黑" w:hAnsi="微软雅黑" w:eastAsia="微软雅黑" w:cs="微软雅黑"/>
          <w:sz w:val="24"/>
          <w:szCs w:val="24"/>
        </w:rPr>
        <w:t>第一步：</w:t>
      </w:r>
      <w:r>
        <w:rPr>
          <w:rFonts w:hint="eastAsia" w:ascii="微软雅黑" w:hAnsi="微软雅黑" w:eastAsia="微软雅黑" w:cs="微软雅黑"/>
          <w:sz w:val="24"/>
          <w:szCs w:val="24"/>
        </w:rPr>
        <w:t>打开自用系统——【工作流程】——【license授权文件申请】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5360035" cy="1139190"/>
            <wp:effectExtent l="0" t="0" r="12065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60035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br w:type="page"/>
      </w:r>
    </w:p>
    <w:p>
      <w:pPr>
        <w:pStyle w:val="2"/>
        <w:numPr>
          <w:ilvl w:val="0"/>
          <w:numId w:val="0"/>
        </w:numPr>
        <w:bidi w:val="0"/>
        <w:rPr>
          <w:rFonts w:hint="default" w:ascii="微软雅黑" w:hAnsi="微软雅黑" w:eastAsia="微软雅黑" w:cs="微软雅黑"/>
          <w:sz w:val="28"/>
          <w:szCs w:val="16"/>
        </w:rPr>
      </w:pPr>
      <w:r>
        <w:rPr>
          <w:rFonts w:hint="default" w:ascii="微软雅黑" w:hAnsi="微软雅黑" w:eastAsia="微软雅黑" w:cs="微软雅黑"/>
          <w:sz w:val="28"/>
          <w:szCs w:val="16"/>
        </w:rPr>
        <w:t>第二步：打开流程填写相应信息（填写说明）</w:t>
      </w:r>
    </w:p>
    <w:p>
      <w:pPr>
        <w:pStyle w:val="3"/>
        <w:numPr>
          <w:ilvl w:val="0"/>
          <w:numId w:val="0"/>
        </w:numPr>
        <w:bidi w:val="0"/>
        <w:rPr>
          <w:rFonts w:hint="default" w:ascii="微软雅黑" w:hAnsi="微软雅黑" w:eastAsia="微软雅黑" w:cs="微软雅黑"/>
          <w:sz w:val="24"/>
          <w:szCs w:val="20"/>
        </w:rPr>
      </w:pPr>
      <w:r>
        <w:rPr>
          <w:rFonts w:hint="default" w:ascii="微软雅黑" w:hAnsi="微软雅黑" w:eastAsia="微软雅黑" w:cs="微软雅黑"/>
          <w:sz w:val="24"/>
          <w:szCs w:val="20"/>
        </w:rPr>
        <w:t>第一部分：基础信息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</w:rPr>
        <w:drawing>
          <wp:inline distT="0" distB="0" distL="114300" distR="114300">
            <wp:extent cx="5273040" cy="2212975"/>
            <wp:effectExtent l="0" t="0" r="3810" b="158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1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1"/>
        </w:numPr>
        <w:bidi w:val="0"/>
        <w:ind w:left="420" w:leftChars="0" w:hanging="420" w:firstLineChars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default" w:ascii="微软雅黑" w:hAnsi="微软雅黑" w:eastAsia="微软雅黑" w:cs="微软雅黑"/>
          <w:sz w:val="21"/>
          <w:szCs w:val="21"/>
        </w:rPr>
        <w:t>license类型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</w:rPr>
        <w:t>可根据实际情况选择</w:t>
      </w:r>
      <w:r>
        <w:rPr>
          <w:rFonts w:hint="default" w:ascii="微软雅黑" w:hAnsi="微软雅黑" w:eastAsia="微软雅黑" w:cs="微软雅黑"/>
          <w:b/>
          <w:bCs/>
          <w:sz w:val="21"/>
          <w:szCs w:val="21"/>
        </w:rPr>
        <w:t>正式</w:t>
      </w: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</w:rPr>
        <w:t>或</w:t>
      </w:r>
      <w:r>
        <w:rPr>
          <w:rFonts w:hint="default" w:ascii="微软雅黑" w:hAnsi="微软雅黑" w:eastAsia="微软雅黑" w:cs="微软雅黑"/>
          <w:b/>
          <w:bCs/>
          <w:sz w:val="21"/>
          <w:szCs w:val="21"/>
        </w:rPr>
        <w:t>临时</w:t>
      </w: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bCs/>
          <w:sz w:val="21"/>
          <w:szCs w:val="21"/>
        </w:rPr>
        <w:t>正式：</w:t>
      </w: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</w:rPr>
        <w:t>提交流程后会由流程审批人逐一审批，有效期可在下面明细表中自定义。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bCs/>
          <w:sz w:val="21"/>
          <w:szCs w:val="21"/>
        </w:rPr>
        <w:t>临时：</w:t>
      </w: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</w:rPr>
        <w:t>提交流程后会自动生成，明细表中会自动带出有效期，有效期为7天。</w:t>
      </w:r>
    </w:p>
    <w:p>
      <w:pPr>
        <w:pStyle w:val="4"/>
        <w:numPr>
          <w:ilvl w:val="0"/>
          <w:numId w:val="1"/>
        </w:numPr>
        <w:bidi w:val="0"/>
        <w:ind w:left="420" w:leftChars="0" w:hanging="420" w:firstLineChars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default" w:ascii="微软雅黑" w:hAnsi="微软雅黑" w:eastAsia="微软雅黑" w:cs="微软雅黑"/>
          <w:sz w:val="21"/>
          <w:szCs w:val="21"/>
        </w:rPr>
        <w:t>license用途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</w:rPr>
        <w:t>根据实际情况选择：客户正式系统、客户测试系统、本地demo搭建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bCs/>
          <w:sz w:val="21"/>
          <w:szCs w:val="21"/>
        </w:rPr>
        <w:t>客户正式系统</w:t>
      </w:r>
      <w:r>
        <w:rPr>
          <w:rFonts w:hint="default" w:ascii="微软雅黑" w:hAnsi="微软雅黑" w:eastAsia="微软雅黑" w:cs="微软雅黑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客户上线使用的系统</w:t>
      </w: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b/>
          <w:bCs/>
          <w:sz w:val="21"/>
          <w:szCs w:val="21"/>
        </w:rPr>
        <w:t>客户测试系统</w:t>
      </w:r>
      <w:r>
        <w:rPr>
          <w:rFonts w:hint="default" w:ascii="微软雅黑" w:hAnsi="微软雅黑" w:eastAsia="微软雅黑" w:cs="微软雅黑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用户用来验证相关功能的，测试没问题后再上线到正式系统使用</w:t>
      </w: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b/>
          <w:bCs/>
          <w:sz w:val="21"/>
          <w:szCs w:val="21"/>
        </w:rPr>
        <w:t>本地demo搭建</w:t>
      </w:r>
      <w:r>
        <w:rPr>
          <w:rFonts w:hint="default" w:ascii="微软雅黑" w:hAnsi="微软雅黑" w:eastAsia="微软雅黑" w:cs="微软雅黑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个人自己本地装的环境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b w:val="0"/>
          <w:bCs w:val="0"/>
          <w:sz w:val="21"/>
          <w:szCs w:val="21"/>
        </w:rPr>
      </w:pPr>
    </w:p>
    <w:p>
      <w:pPr>
        <w:pStyle w:val="4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sz w:val="21"/>
          <w:szCs w:val="21"/>
        </w:rPr>
      </w:pPr>
      <w:r>
        <w:rPr>
          <w:rFonts w:hint="default" w:ascii="微软雅黑" w:hAnsi="微软雅黑" w:eastAsia="微软雅黑" w:cs="微软雅黑"/>
          <w:sz w:val="21"/>
          <w:szCs w:val="21"/>
        </w:rPr>
        <w:t>客服专员：有对接客服如实填写，没有就不用填</w:t>
      </w:r>
    </w:p>
    <w:p>
      <w:pPr>
        <w:pStyle w:val="4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color w:val="FF0000"/>
          <w:sz w:val="21"/>
          <w:szCs w:val="21"/>
        </w:rPr>
      </w:pPr>
      <w:r>
        <w:rPr>
          <w:rFonts w:hint="default" w:ascii="微软雅黑" w:hAnsi="微软雅黑" w:eastAsia="微软雅黑" w:cs="微软雅黑"/>
          <w:color w:val="FF0000"/>
          <w:sz w:val="21"/>
          <w:szCs w:val="21"/>
        </w:rPr>
        <w:t>相关项目：（需要再和商务确认）</w:t>
      </w:r>
    </w:p>
    <w:p>
      <w:pPr>
        <w:pStyle w:val="4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default" w:ascii="微软雅黑" w:hAnsi="微软雅黑" w:eastAsia="微软雅黑" w:cs="微软雅黑"/>
          <w:color w:val="000000"/>
          <w:sz w:val="21"/>
          <w:szCs w:val="21"/>
        </w:rPr>
        <w:t>审批方式：一般情况下选择自动审核，若自动审核不通过，流程会退回，届时可更改为手动审核。</w:t>
      </w:r>
    </w:p>
    <w:p>
      <w:pPr>
        <w:pStyle w:val="4"/>
        <w:numPr>
          <w:ilvl w:val="0"/>
          <w:numId w:val="1"/>
        </w:numPr>
        <w:bidi w:val="0"/>
        <w:ind w:left="420" w:leftChars="0" w:hanging="420" w:firstLineChars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default" w:ascii="微软雅黑" w:hAnsi="微软雅黑" w:eastAsia="微软雅黑" w:cs="微软雅黑"/>
          <w:sz w:val="21"/>
          <w:szCs w:val="21"/>
        </w:rPr>
        <w:t>申请原因：根据实际情况填写</w:t>
      </w:r>
    </w:p>
    <w:p>
      <w:pPr>
        <w:rPr>
          <w:rFonts w:hint="default"/>
        </w:rPr>
      </w:pPr>
    </w:p>
    <w:p>
      <w:pPr>
        <w:pStyle w:val="3"/>
        <w:numPr>
          <w:ilvl w:val="0"/>
          <w:numId w:val="0"/>
        </w:numPr>
        <w:bidi w:val="0"/>
        <w:rPr>
          <w:rFonts w:hint="default" w:ascii="微软雅黑" w:hAnsi="微软雅黑" w:eastAsia="微软雅黑" w:cs="微软雅黑"/>
          <w:sz w:val="24"/>
          <w:szCs w:val="20"/>
        </w:rPr>
      </w:pPr>
      <w:r>
        <w:rPr>
          <w:rFonts w:hint="default" w:ascii="微软雅黑" w:hAnsi="微软雅黑" w:eastAsia="微软雅黑" w:cs="微软雅黑"/>
          <w:sz w:val="24"/>
          <w:szCs w:val="20"/>
        </w:rPr>
        <w:t>第二部分：客户信息</w:t>
      </w:r>
    </w:p>
    <w:p>
      <w:pPr>
        <w:numPr>
          <w:ilvl w:val="0"/>
          <w:numId w:val="0"/>
        </w:numPr>
        <w:rPr>
          <w:rFonts w:hint="default" w:cs="Times New Roman"/>
        </w:rPr>
      </w:pPr>
      <w:r>
        <w:rPr>
          <w:rFonts w:hint="default" w:cs="Times New Roman"/>
        </w:rPr>
        <w:drawing>
          <wp:inline distT="0" distB="0" distL="114300" distR="114300">
            <wp:extent cx="5273040" cy="1301750"/>
            <wp:effectExtent l="0" t="0" r="381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cs="Times New Roman"/>
        </w:rPr>
      </w:pPr>
    </w:p>
    <w:p>
      <w:pPr>
        <w:pStyle w:val="4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sz w:val="21"/>
          <w:szCs w:val="21"/>
        </w:rPr>
      </w:pPr>
      <w:r>
        <w:rPr>
          <w:rFonts w:hint="default" w:ascii="微软雅黑" w:hAnsi="微软雅黑" w:eastAsia="微软雅黑" w:cs="微软雅黑"/>
          <w:sz w:val="21"/>
          <w:szCs w:val="21"/>
        </w:rPr>
        <w:t>客户：根据实际情况选择客户，若选不到，则需要在客户库中新建</w:t>
      </w:r>
    </w:p>
    <w:p>
      <w:pPr>
        <w:pStyle w:val="4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sz w:val="21"/>
          <w:szCs w:val="21"/>
        </w:rPr>
      </w:pPr>
      <w:r>
        <w:rPr>
          <w:rFonts w:hint="default" w:ascii="微软雅黑" w:hAnsi="微软雅黑" w:eastAsia="微软雅黑" w:cs="微软雅黑"/>
          <w:sz w:val="21"/>
          <w:szCs w:val="21"/>
        </w:rPr>
        <w:t>客户联系人：选定客户后，下拉框中会带出客户联系人，个别客户有多个联系人，根据实际情况选择即可。</w:t>
      </w:r>
    </w:p>
    <w:p>
      <w:pPr>
        <w:pStyle w:val="4"/>
        <w:numPr>
          <w:ilvl w:val="0"/>
          <w:numId w:val="1"/>
        </w:numPr>
        <w:bidi w:val="0"/>
        <w:ind w:left="420" w:leftChars="0" w:hanging="420" w:firstLineChars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default" w:ascii="微软雅黑" w:hAnsi="微软雅黑" w:eastAsia="微软雅黑" w:cs="微软雅黑"/>
          <w:sz w:val="21"/>
          <w:szCs w:val="21"/>
        </w:rPr>
        <w:t>联系人电话：选定客户联系人后，若客户信息中包含电话，则会自动带出，若不包含，可根据实际情况填写，或不填。</w:t>
      </w:r>
    </w:p>
    <w:p>
      <w:pPr>
        <w:pStyle w:val="4"/>
        <w:numPr>
          <w:ilvl w:val="0"/>
          <w:numId w:val="1"/>
        </w:numPr>
        <w:bidi w:val="0"/>
        <w:ind w:left="420" w:leftChars="0" w:hanging="420" w:firstLineChars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default" w:ascii="微软雅黑" w:hAnsi="微软雅黑" w:eastAsia="微软雅黑" w:cs="微软雅黑"/>
          <w:sz w:val="21"/>
          <w:szCs w:val="21"/>
        </w:rPr>
        <w:t>联系人邮箱：非必填，可以根据实际情况填写</w:t>
      </w:r>
    </w:p>
    <w:p>
      <w:pPr>
        <w:rPr>
          <w:rFonts w:hint="eastAsia"/>
        </w:rPr>
      </w:pPr>
    </w:p>
    <w:p>
      <w:pPr>
        <w:pStyle w:val="4"/>
        <w:numPr>
          <w:ilvl w:val="0"/>
          <w:numId w:val="1"/>
        </w:numPr>
        <w:bidi w:val="0"/>
        <w:ind w:left="0" w:leftChars="0" w:right="-105" w:rightChars="-50" w:firstLine="0" w:firstLineChars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合同号：若有，如实填写；若无，填写20230999</w:t>
      </w:r>
    </w:p>
    <w:p>
      <w:pPr>
        <w:pStyle w:val="4"/>
        <w:numPr>
          <w:ilvl w:val="0"/>
          <w:numId w:val="1"/>
        </w:numPr>
        <w:bidi w:val="0"/>
        <w:ind w:left="420" w:leftChars="0" w:hanging="420" w:firstLineChars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最终用户编号：只有签了合同的客户才有</w:t>
      </w:r>
      <w:r>
        <w:rPr>
          <w:rFonts w:hint="default" w:ascii="微软雅黑" w:hAnsi="微软雅黑" w:eastAsia="微软雅黑" w:cs="微软雅黑"/>
          <w:sz w:val="21"/>
          <w:szCs w:val="21"/>
        </w:rPr>
        <w:t>，选择签了合同的客户，会自动带出</w:t>
      </w:r>
    </w:p>
    <w:p>
      <w:pPr>
        <w:pStyle w:val="4"/>
        <w:numPr>
          <w:ilvl w:val="0"/>
          <w:numId w:val="1"/>
        </w:numPr>
        <w:bidi w:val="0"/>
        <w:ind w:left="420" w:leftChars="0" w:hanging="420" w:firstLineChars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明细表：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</w:rPr>
      </w:pPr>
      <w:r>
        <w:rPr>
          <w:rFonts w:hint="eastAsia" w:ascii="微软雅黑" w:hAnsi="微软雅黑" w:eastAsia="微软雅黑" w:cs="微软雅黑"/>
          <w:color w:val="FF0000"/>
        </w:rPr>
        <w:t>主要说明产品类型为e-cology10的操作</w:t>
      </w:r>
    </w:p>
    <w:p>
      <w:pPr>
        <w:numPr>
          <w:ilvl w:val="0"/>
          <w:numId w:val="0"/>
        </w:numPr>
        <w:ind w:leftChars="0"/>
        <w:rPr>
          <w:rFonts w:hint="default" w:cs="Times New Roman"/>
        </w:rPr>
      </w:pPr>
      <w:r>
        <w:rPr>
          <w:rFonts w:hint="default" w:cs="Times New Roman"/>
        </w:rPr>
        <w:drawing>
          <wp:inline distT="0" distB="0" distL="114300" distR="114300">
            <wp:extent cx="5260975" cy="448310"/>
            <wp:effectExtent l="0" t="0" r="15875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eastAsia" w:ascii="微软雅黑" w:hAnsi="微软雅黑" w:eastAsia="微软雅黑" w:cs="微软雅黑"/>
          <w:sz w:val="20"/>
          <w:szCs w:val="16"/>
        </w:rPr>
      </w:pPr>
      <w:r>
        <w:rPr>
          <w:rFonts w:hint="eastAsia" w:ascii="微软雅黑" w:hAnsi="微软雅黑" w:eastAsia="微软雅黑" w:cs="微软雅黑"/>
          <w:sz w:val="20"/>
          <w:szCs w:val="16"/>
        </w:rPr>
        <w:t>license文件标识码(小E同ecology)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打开运维平台——【百宝箱】——【license】</w:t>
      </w:r>
    </w:p>
    <w:p>
      <w:pPr>
        <w:numPr>
          <w:ilvl w:val="0"/>
          <w:numId w:val="0"/>
        </w:numPr>
        <w:ind w:leftChars="0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5266690" cy="2850515"/>
            <wp:effectExtent l="0" t="0" r="1016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5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</w:rPr>
      </w:pP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eastAsia" w:ascii="微软雅黑" w:hAnsi="微软雅黑" w:eastAsia="微软雅黑" w:cs="微软雅黑"/>
          <w:b/>
          <w:sz w:val="20"/>
          <w:szCs w:val="16"/>
        </w:rPr>
      </w:pPr>
      <w:r>
        <w:rPr>
          <w:rFonts w:hint="eastAsia" w:ascii="微软雅黑" w:hAnsi="微软雅黑" w:eastAsia="微软雅黑" w:cs="微软雅黑"/>
          <w:b/>
          <w:sz w:val="20"/>
          <w:szCs w:val="16"/>
        </w:rPr>
        <w:t>开始日期</w:t>
      </w:r>
      <w:r>
        <w:rPr>
          <w:rFonts w:hint="default" w:ascii="微软雅黑" w:hAnsi="微软雅黑" w:eastAsia="微软雅黑" w:cs="微软雅黑"/>
          <w:b/>
          <w:sz w:val="20"/>
          <w:szCs w:val="16"/>
        </w:rPr>
        <w:t>：根据客户购买信息填写</w:t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b/>
          <w:sz w:val="20"/>
          <w:szCs w:val="1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0"/>
          <w:szCs w:val="16"/>
        </w:rPr>
        <w:t>结束日期</w:t>
      </w:r>
      <w:r>
        <w:rPr>
          <w:rFonts w:hint="default" w:ascii="微软雅黑" w:hAnsi="微软雅黑" w:eastAsia="微软雅黑" w:cs="微软雅黑"/>
          <w:b/>
          <w:sz w:val="20"/>
          <w:szCs w:val="16"/>
        </w:rPr>
        <w:t>：根据客户购买信息填写</w:t>
      </w:r>
    </w:p>
    <w:p>
      <w:pPr>
        <w:rPr>
          <w:rFonts w:hint="default"/>
          <w:lang w:val="en-US" w:eastAsia="zh-CN"/>
        </w:rPr>
      </w:pP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b/>
          <w:sz w:val="20"/>
          <w:szCs w:val="16"/>
          <w:lang w:val="en-US"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lang w:val="en-US" w:eastAsia="zh-CN"/>
        </w:rPr>
        <w:t>一级分部数</w:t>
      </w:r>
      <w:r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  <w:t>：忽略，无需填写</w:t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b/>
          <w:sz w:val="20"/>
          <w:szCs w:val="16"/>
          <w:lang w:val="en-US"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lang w:val="en-US" w:eastAsia="zh-CN"/>
        </w:rPr>
        <w:t>license文件用户数</w:t>
      </w:r>
      <w:r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  <w:t>：</w:t>
      </w:r>
      <w:r>
        <w:rPr>
          <w:rFonts w:hint="default" w:ascii="微软雅黑" w:hAnsi="微软雅黑" w:eastAsia="微软雅黑" w:cs="微软雅黑"/>
          <w:b/>
          <w:sz w:val="20"/>
          <w:szCs w:val="16"/>
        </w:rPr>
        <w:t>根据客户购买信息填写</w:t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b/>
          <w:sz w:val="20"/>
          <w:szCs w:val="16"/>
          <w:lang w:val="en-US"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lang w:val="en-US" w:eastAsia="zh-CN"/>
        </w:rPr>
        <w:t>是否控制并发</w:t>
      </w:r>
      <w:r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  <w:t>：</w:t>
      </w:r>
      <w:r>
        <w:rPr>
          <w:rFonts w:hint="default" w:ascii="微软雅黑" w:hAnsi="微软雅黑" w:eastAsia="微软雅黑" w:cs="微软雅黑"/>
          <w:b/>
          <w:sz w:val="20"/>
          <w:szCs w:val="16"/>
        </w:rPr>
        <w:t>根据客户购买信息填写</w:t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b/>
          <w:sz w:val="20"/>
          <w:szCs w:val="16"/>
          <w:lang w:val="en-US"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lang w:val="en-US" w:eastAsia="zh-CN"/>
        </w:rPr>
        <w:t>license附加设置</w:t>
      </w:r>
      <w:r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  <w:t>：根据客户购买信息填写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drawing>
          <wp:inline distT="0" distB="0" distL="114300" distR="114300">
            <wp:extent cx="5271135" cy="880745"/>
            <wp:effectExtent l="0" t="0" r="5715" b="146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8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  <w:t>PC授权用户总数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  <w:t>PC授权用户总数大于所购买（勾选）的各模块PC授权用户数中最大的数。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color w:val="FF0000"/>
          <w:sz w:val="21"/>
          <w:szCs w:val="21"/>
          <w:lang w:eastAsia="zh-CN"/>
        </w:rPr>
        <w:t>例：xx客户购买了 登录注册、分布式事务、数据安全这三个模块，其中登录注册PC授权用户数为50个，分布式事务PC授权用户数为20个，数据安全PC授权用户数为40个，那么PC授权用户总数</w:t>
      </w:r>
      <w:r>
        <w:rPr>
          <w:rFonts w:hint="default" w:ascii="微软雅黑" w:hAnsi="微软雅黑" w:eastAsia="微软雅黑" w:cs="微软雅黑"/>
          <w:b/>
          <w:bCs/>
          <w:color w:val="FF0000"/>
          <w:sz w:val="21"/>
          <w:szCs w:val="21"/>
          <w:lang w:eastAsia="zh-CN"/>
        </w:rPr>
        <w:t>至少&gt;50</w:t>
      </w:r>
      <w:r>
        <w:rPr>
          <w:rFonts w:hint="default" w:ascii="微软雅黑" w:hAnsi="微软雅黑" w:eastAsia="微软雅黑" w:cs="微软雅黑"/>
          <w:b w:val="0"/>
          <w:bCs w:val="0"/>
          <w:color w:val="000000"/>
          <w:sz w:val="21"/>
          <w:szCs w:val="21"/>
          <w:lang w:eastAsia="zh-CN"/>
        </w:rPr>
        <w:t>（即：总数&gt;登陆注册授权数即可，因为在购买的这3个模块中，登录授权数是最高的，总体原则就是 总数大于最大授权数）</w:t>
      </w:r>
      <w:r>
        <w:rPr>
          <w:rFonts w:hint="default" w:ascii="微软雅黑" w:hAnsi="微软雅黑" w:eastAsia="微软雅黑" w:cs="微软雅黑"/>
          <w:b w:val="0"/>
          <w:bCs w:val="0"/>
          <w:color w:val="FF0000"/>
          <w:sz w:val="21"/>
          <w:szCs w:val="21"/>
          <w:lang w:eastAsia="zh-CN"/>
        </w:rPr>
        <w:t>。</w:t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  <w:t>移动端授权用户总数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  <w:t>移动端授权用户总数大于等于所购买（勾选）的各模块移动端授权用户数相加的和。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color w:val="FF0000"/>
          <w:sz w:val="21"/>
          <w:szCs w:val="21"/>
          <w:lang w:eastAsia="zh-CN"/>
        </w:rPr>
        <w:t>例：xx客户购买了 登录注册、分布式事务、数据安全这三个模块，其中登录注册移动端授权用户数为50个，分布式事务移动端授权用户数为20个，数据安全移动端授权用户数为40个，那么移动端授权用户总数</w:t>
      </w:r>
      <w:r>
        <w:rPr>
          <w:rFonts w:hint="default" w:ascii="微软雅黑" w:hAnsi="微软雅黑" w:eastAsia="微软雅黑" w:cs="微软雅黑"/>
          <w:b/>
          <w:bCs/>
          <w:color w:val="FF0000"/>
          <w:sz w:val="21"/>
          <w:szCs w:val="21"/>
          <w:lang w:eastAsia="zh-CN"/>
        </w:rPr>
        <w:t>至少&gt;50</w:t>
      </w:r>
      <w:r>
        <w:rPr>
          <w:rFonts w:hint="default" w:ascii="微软雅黑" w:hAnsi="微软雅黑" w:eastAsia="微软雅黑" w:cs="微软雅黑"/>
          <w:b w:val="0"/>
          <w:bCs w:val="0"/>
          <w:color w:val="000000"/>
          <w:sz w:val="21"/>
          <w:szCs w:val="21"/>
          <w:lang w:eastAsia="zh-CN"/>
        </w:rPr>
        <w:t>（即：总数&gt;登陆注册授权数即可，因为在购买的这3个模块中，登录授权数是最高的，总体原则就是 总数大于最大授权数）</w:t>
      </w:r>
      <w:r>
        <w:rPr>
          <w:rFonts w:hint="default" w:ascii="微软雅黑" w:hAnsi="微软雅黑" w:eastAsia="微软雅黑" w:cs="微软雅黑"/>
          <w:b w:val="0"/>
          <w:bCs w:val="0"/>
          <w:color w:val="FF0000"/>
          <w:sz w:val="21"/>
          <w:szCs w:val="21"/>
          <w:lang w:eastAsia="zh-CN"/>
        </w:rPr>
        <w:t>。</w:t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b/>
          <w:sz w:val="20"/>
          <w:szCs w:val="16"/>
          <w:highlight w:val="yellow"/>
          <w:lang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  <w:t>外部用户授权数量</w:t>
      </w:r>
      <w:r>
        <w:rPr>
          <w:rFonts w:hint="default" w:ascii="微软雅黑" w:hAnsi="微软雅黑" w:eastAsia="微软雅黑" w:cs="微软雅黑"/>
          <w:b w:val="0"/>
          <w:bCs w:val="0"/>
          <w:sz w:val="20"/>
          <w:szCs w:val="16"/>
          <w:lang w:eastAsia="zh-CN"/>
        </w:rPr>
        <w:t>：客户要开放给多少外部用户，就填多少</w:t>
      </w:r>
      <w:r>
        <w:rPr>
          <w:rFonts w:hint="default" w:ascii="微软雅黑" w:hAnsi="微软雅黑" w:eastAsia="微软雅黑" w:cs="微软雅黑"/>
          <w:b w:val="0"/>
          <w:bCs w:val="0"/>
          <w:sz w:val="20"/>
          <w:szCs w:val="16"/>
          <w:highlight w:val="yellow"/>
          <w:lang w:eastAsia="zh-CN"/>
        </w:rPr>
        <w:t>(需要补充：外部用户的组织架构挂在哪里---问吕益）</w:t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eastAsia" w:ascii="微软雅黑" w:hAnsi="微软雅黑" w:eastAsia="微软雅黑" w:cs="微软雅黑"/>
          <w:b w:val="0"/>
          <w:bCs w:val="0"/>
          <w:sz w:val="20"/>
          <w:szCs w:val="16"/>
          <w:lang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  <w:t>租户类型：</w:t>
      </w:r>
      <w:r>
        <w:rPr>
          <w:rFonts w:hint="default" w:ascii="微软雅黑" w:hAnsi="微软雅黑" w:eastAsia="微软雅黑" w:cs="微软雅黑"/>
          <w:b w:val="0"/>
          <w:bCs w:val="0"/>
          <w:sz w:val="20"/>
          <w:szCs w:val="16"/>
          <w:lang w:eastAsia="zh-CN"/>
        </w:rPr>
        <w:t>分为单租户和多租户。单租户表示只能建一个团队；多租户表示可以建多个团队。</w:t>
      </w:r>
    </w:p>
    <w:p>
      <w:pPr>
        <w:ind w:leftChars="200"/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  <w:t>单租户：只有一个团队，数据是互通的</w:t>
      </w:r>
    </w:p>
    <w:p>
      <w:pPr>
        <w:ind w:leftChars="200"/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  <w:t>多租户：总集团下辖多个分公司，给分公司开通租户，可以共用一套系统，但数据隔离</w:t>
      </w:r>
    </w:p>
    <w:p>
      <w:pPr>
        <w:ind w:leftChars="200"/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drawing>
          <wp:inline distT="0" distB="0" distL="114300" distR="114300">
            <wp:extent cx="5268595" cy="838835"/>
            <wp:effectExtent l="0" t="0" r="8255" b="1841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  <w:t>EMobile客户端选择：根据客户情况勾选</w:t>
      </w:r>
    </w:p>
    <w:p>
      <w:pPr>
        <w:rPr>
          <w:rFonts w:hint="default" w:ascii="微软雅黑" w:hAnsi="微软雅黑" w:eastAsia="微软雅黑" w:cs="微软雅黑"/>
          <w:sz w:val="21"/>
          <w:szCs w:val="21"/>
          <w:lang w:eastAsia="zh-CN"/>
        </w:rPr>
      </w:pPr>
    </w:p>
    <w:p>
      <w:pPr>
        <w:rPr>
          <w:rFonts w:hint="default" w:ascii="微软雅黑" w:hAnsi="微软雅黑" w:eastAsia="微软雅黑" w:cs="微软雅黑"/>
          <w:sz w:val="21"/>
          <w:szCs w:val="21"/>
          <w:lang w:eastAsia="zh-CN"/>
        </w:rPr>
      </w:pPr>
    </w:p>
    <w:p>
      <w:pPr>
        <w:rPr>
          <w:rFonts w:hint="default" w:ascii="微软雅黑" w:hAnsi="微软雅黑" w:eastAsia="微软雅黑" w:cs="微软雅黑"/>
          <w:sz w:val="21"/>
          <w:szCs w:val="21"/>
          <w:lang w:eastAsia="zh-CN"/>
        </w:rPr>
      </w:pPr>
    </w:p>
    <w:p>
      <w:pPr>
        <w:rPr>
          <w:rFonts w:hint="default" w:ascii="微软雅黑" w:hAnsi="微软雅黑" w:eastAsia="微软雅黑" w:cs="微软雅黑"/>
          <w:sz w:val="21"/>
          <w:szCs w:val="21"/>
          <w:lang w:eastAsia="zh-CN"/>
        </w:rPr>
      </w:pPr>
    </w:p>
    <w:p>
      <w:pPr>
        <w:rPr>
          <w:rFonts w:hint="default" w:ascii="微软雅黑" w:hAnsi="微软雅黑" w:eastAsia="微软雅黑" w:cs="微软雅黑"/>
          <w:sz w:val="21"/>
          <w:szCs w:val="21"/>
          <w:lang w:eastAsia="zh-CN"/>
        </w:rPr>
      </w:pPr>
    </w:p>
    <w:p>
      <w:pPr>
        <w:rPr>
          <w:rFonts w:hint="default" w:ascii="微软雅黑" w:hAnsi="微软雅黑" w:eastAsia="微软雅黑" w:cs="微软雅黑"/>
          <w:sz w:val="21"/>
          <w:szCs w:val="21"/>
          <w:lang w:eastAsia="zh-CN"/>
        </w:rPr>
      </w:pPr>
    </w:p>
    <w:p>
      <w:pPr>
        <w:rPr>
          <w:rFonts w:hint="default" w:ascii="微软雅黑" w:hAnsi="微软雅黑" w:eastAsia="微软雅黑" w:cs="微软雅黑"/>
          <w:sz w:val="21"/>
          <w:szCs w:val="21"/>
          <w:lang w:eastAsia="zh-CN"/>
        </w:rPr>
      </w:pPr>
      <w:bookmarkStart w:id="0" w:name="_GoBack"/>
      <w:bookmarkEnd w:id="0"/>
      <w:r>
        <w:rPr>
          <w:rFonts w:hint="default" w:ascii="微软雅黑" w:hAnsi="微软雅黑" w:eastAsia="微软雅黑" w:cs="微软雅黑"/>
          <w:sz w:val="21"/>
          <w:szCs w:val="21"/>
          <w:lang w:eastAsia="zh-CN"/>
        </w:rPr>
        <w:drawing>
          <wp:inline distT="0" distB="0" distL="114300" distR="114300">
            <wp:extent cx="5273040" cy="1466850"/>
            <wp:effectExtent l="0" t="0" r="381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  <w:t>按标准购买：</w:t>
      </w:r>
      <w:r>
        <w:rPr>
          <w:rFonts w:hint="default" w:ascii="微软雅黑" w:hAnsi="微软雅黑" w:eastAsia="微软雅黑" w:cs="微软雅黑"/>
          <w:b w:val="0"/>
          <w:bCs w:val="0"/>
          <w:sz w:val="20"/>
          <w:szCs w:val="16"/>
          <w:lang w:eastAsia="zh-CN"/>
        </w:rPr>
        <w:t>E10标准产品</w:t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  <w:t>按专项购买：</w:t>
      </w:r>
      <w:r>
        <w:rPr>
          <w:rFonts w:hint="default" w:ascii="微软雅黑" w:hAnsi="微软雅黑" w:eastAsia="微软雅黑" w:cs="微软雅黑"/>
          <w:b w:val="0"/>
          <w:bCs w:val="0"/>
          <w:sz w:val="20"/>
          <w:szCs w:val="16"/>
          <w:lang w:eastAsia="zh-CN"/>
        </w:rPr>
        <w:t>目前支持按专项购买的有：齐业成-费控管理、事井然-项目管理</w:t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b/>
          <w:sz w:val="20"/>
          <w:szCs w:val="16"/>
          <w:highlight w:val="yellow"/>
          <w:lang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highlight w:val="yellow"/>
          <w:lang w:eastAsia="zh-CN"/>
        </w:rPr>
        <w:t>应用列表：搜索栏，可以快速检索需要的模块</w:t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highlight w:val="none"/>
          <w:lang w:eastAsia="zh-CN"/>
        </w:rPr>
        <w:t>启动全选：</w:t>
      </w:r>
      <w:r>
        <w:rPr>
          <w:rFonts w:hint="default" w:ascii="微软雅黑" w:hAnsi="微软雅黑" w:eastAsia="微软雅黑" w:cs="微软雅黑"/>
          <w:b w:val="0"/>
          <w:bCs w:val="0"/>
          <w:sz w:val="20"/>
          <w:szCs w:val="16"/>
          <w:highlight w:val="none"/>
          <w:lang w:eastAsia="zh-CN"/>
        </w:rPr>
        <w:t>默认选中，选中后可以对全部应用进行全选操作（如图所示）</w:t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  <w:t>PC授权用户数：填写数量后，则以下每个模块默认都会带出相应的数量。</w:t>
      </w:r>
    </w:p>
    <w:p>
      <w:pP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  <w:drawing>
          <wp:inline distT="0" distB="0" distL="114300" distR="114300">
            <wp:extent cx="5266690" cy="3006725"/>
            <wp:effectExtent l="0" t="0" r="10160" b="317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0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bidi w:val="0"/>
        <w:ind w:left="420" w:leftChars="0" w:hanging="420" w:firstLineChars="0"/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</w:pPr>
      <w:r>
        <w:rPr>
          <w:rFonts w:hint="default" w:ascii="微软雅黑" w:hAnsi="微软雅黑" w:eastAsia="微软雅黑" w:cs="微软雅黑"/>
          <w:b/>
          <w:sz w:val="20"/>
          <w:szCs w:val="16"/>
          <w:lang w:eastAsia="zh-CN"/>
        </w:rPr>
        <w:t>移动端授权用户数：填写数量后，则以下每个模块默认都会带出相应的数量。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b/>
          <w:sz w:val="20"/>
          <w:szCs w:val="16"/>
        </w:rPr>
      </w:pPr>
      <w: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eastAsia="zh-CN"/>
        </w:rPr>
        <w:drawing>
          <wp:inline distT="0" distB="0" distL="114300" distR="114300">
            <wp:extent cx="5266690" cy="3006725"/>
            <wp:effectExtent l="0" t="0" r="10160" b="317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0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altName w:val="汉仪旗黑KW 55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KW 55S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Wingdings">
    <w:altName w:val="Kingsoft Confett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8C360B"/>
    <w:multiLevelType w:val="singleLevel"/>
    <w:tmpl w:val="568C360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splitPgBreakAndParaMark/>
    <w:compatSetting w:name="compatibilityMode" w:uri="http://schemas.microsoft.com/office/word" w:val="12"/>
  </w:compat>
  <w:rsids>
    <w:rsidRoot w:val="00000000"/>
    <w:rsid w:val="1DFB612C"/>
    <w:rsid w:val="337E9006"/>
    <w:rsid w:val="37FC1938"/>
    <w:rsid w:val="39BF497B"/>
    <w:rsid w:val="3B7AA34E"/>
    <w:rsid w:val="3B8CA05A"/>
    <w:rsid w:val="3E9F2DD6"/>
    <w:rsid w:val="4FFE58B6"/>
    <w:rsid w:val="53BF7C0D"/>
    <w:rsid w:val="5FF6B5CB"/>
    <w:rsid w:val="6B7DD0C4"/>
    <w:rsid w:val="6EFB9559"/>
    <w:rsid w:val="73B61582"/>
    <w:rsid w:val="77BF20FA"/>
    <w:rsid w:val="77F5CB3F"/>
    <w:rsid w:val="7857E56C"/>
    <w:rsid w:val="7BE2B6EE"/>
    <w:rsid w:val="7BF8A54E"/>
    <w:rsid w:val="7CEE0843"/>
    <w:rsid w:val="7DFF969A"/>
    <w:rsid w:val="7EBCE3B4"/>
    <w:rsid w:val="7FF271F6"/>
    <w:rsid w:val="7FFD8D21"/>
    <w:rsid w:val="7FFE3ABF"/>
    <w:rsid w:val="8FFF1C21"/>
    <w:rsid w:val="BDD70F20"/>
    <w:rsid w:val="BDE78C64"/>
    <w:rsid w:val="BEF3310C"/>
    <w:rsid w:val="BF5E5ABC"/>
    <w:rsid w:val="C6DF026D"/>
    <w:rsid w:val="D7682A70"/>
    <w:rsid w:val="DB7BBB5C"/>
    <w:rsid w:val="DBF98BFE"/>
    <w:rsid w:val="DDBE8448"/>
    <w:rsid w:val="DE5F931C"/>
    <w:rsid w:val="DF5CF463"/>
    <w:rsid w:val="E7EAB7E3"/>
    <w:rsid w:val="EAE37DB3"/>
    <w:rsid w:val="EDF57724"/>
    <w:rsid w:val="F2FF797E"/>
    <w:rsid w:val="FACF9508"/>
    <w:rsid w:val="FDF58B3C"/>
    <w:rsid w:val="FEF7D81E"/>
    <w:rsid w:val="FF550E75"/>
    <w:rsid w:val="FF5FF4BC"/>
    <w:rsid w:val="FF7FE8C6"/>
    <w:rsid w:val="FFFBA2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 WWO_wpscloud_20230718170107-99701b6a8c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2023-08-04T08:38:00Z</dcterms:created>
  <dc:creator>Apache POI</dc:creator>
  <dcterms:modified xsi:type="dcterms:W3CDTF">2023-12-22T15:35:56Z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