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sdt>
      <w:sdtPr>
        <w:rPr>
          <w:rFonts w:hint="eastAsia" w:ascii="宋体" w:hAnsi="宋体" w:eastAsia="宋体" w:cs="宋体"/>
          <w:b/>
          <w:bCs/>
          <w:sz w:val="36"/>
          <w:szCs w:val="36"/>
        </w:rPr>
        <w:id w:val="147462287"/>
        <w:docPartObj>
          <w:docPartGallery w:val="Table of Contents"/>
          <w:docPartUnique/>
        </w:docPartObj>
      </w:sdtPr>
      <w:sdtEndPr>
        <w:rPr>
          <w:rFonts w:hint="eastAsia" w:ascii="宋体" w:hAnsi="宋体" w:eastAsia="宋体" w:cs="宋体"/>
          <w:b/>
          <w:bCs/>
          <w:sz w:val="36"/>
          <w:szCs w:val="36"/>
        </w:rPr>
      </w:sdtEndPr>
      <w:sdtContent>
        <w:p>
          <w:pPr>
            <w:spacing w:line="360" w:lineRule="auto"/>
            <w:jc w:val="center"/>
            <w:rPr>
              <w:rFonts w:hint="eastAsia" w:ascii="宋体" w:hAnsi="宋体" w:eastAsia="宋体" w:cs="宋体"/>
              <w:b/>
              <w:bCs/>
              <w:sz w:val="36"/>
              <w:szCs w:val="36"/>
            </w:rPr>
          </w:pPr>
          <w:r>
            <w:rPr>
              <w:rFonts w:hint="eastAsia" w:ascii="宋体" w:hAnsi="宋体" w:eastAsia="宋体" w:cs="宋体"/>
              <w:b/>
              <w:bCs/>
              <w:sz w:val="36"/>
              <w:szCs w:val="36"/>
            </w:rPr>
            <w:t>目录</w:t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TOC \o "1-3" \h \u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_Toc15093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  <w:lang w:val="en-US" w:eastAsia="zh-CN"/>
            </w:rPr>
            <w:t>一、运维平台常见运维操作</w:t>
          </w:r>
          <w:r>
            <w:tab/>
          </w:r>
          <w:r>
            <w:fldChar w:fldCharType="begin"/>
          </w:r>
          <w:r>
            <w:instrText xml:space="preserve"> PAGEREF _Toc15093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_Toc2072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  <w:lang w:val="en-US" w:eastAsia="zh-CN"/>
            </w:rPr>
            <w:t>1. 如何下载服务日志</w:t>
          </w:r>
          <w:r>
            <w:tab/>
          </w:r>
          <w:r>
            <w:fldChar w:fldCharType="begin"/>
          </w:r>
          <w:r>
            <w:instrText xml:space="preserve"> PAGEREF _Toc2072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_Toc1161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  <w:lang w:val="en-US" w:eastAsia="zh-CN"/>
            </w:rPr>
            <w:t>2. 如何查看E10服务状态以及操作E10服务重启</w:t>
          </w:r>
          <w:r>
            <w:tab/>
          </w:r>
          <w:r>
            <w:fldChar w:fldCharType="begin"/>
          </w:r>
          <w:r>
            <w:instrText xml:space="preserve"> PAGEREF _Toc1161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_Toc27415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/>
              <w:lang w:val="en-US" w:eastAsia="zh-CN"/>
            </w:rPr>
            <w:t xml:space="preserve">3. </w:t>
          </w:r>
          <w:r>
            <w:rPr>
              <w:rFonts w:hint="eastAsia" w:ascii="宋体" w:hAnsi="宋体" w:eastAsia="宋体" w:cs="宋体"/>
              <w:lang w:val="en-US" w:eastAsia="zh-CN"/>
            </w:rPr>
            <w:t>如何进行E10服务升级</w:t>
          </w:r>
          <w:r>
            <w:tab/>
          </w:r>
          <w:r>
            <w:fldChar w:fldCharType="begin"/>
          </w:r>
          <w:r>
            <w:instrText xml:space="preserve"> PAGEREF _Toc27415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_Toc19840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  <w:lang w:val="en-US" w:eastAsia="zh-CN"/>
            </w:rPr>
            <w:t>4. 如何操作运维平台主节点服务重启</w:t>
          </w:r>
          <w:r>
            <w:tab/>
          </w:r>
          <w:r>
            <w:fldChar w:fldCharType="begin"/>
          </w:r>
          <w:r>
            <w:instrText xml:space="preserve"> PAGEREF _Toc19840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_Toc9976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  <w:lang w:val="en-US" w:eastAsia="zh-CN"/>
            </w:rPr>
            <w:t>5. 如何操作运维平台代理节点服务的重启</w:t>
          </w:r>
          <w:r>
            <w:tab/>
          </w:r>
          <w:r>
            <w:fldChar w:fldCharType="begin"/>
          </w:r>
          <w:r>
            <w:instrText xml:space="preserve"> PAGEREF _Toc9976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_Toc4006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  <w:lang w:val="en-US" w:eastAsia="zh-CN"/>
            </w:rPr>
            <w:t>6. 如何查看告警信息</w:t>
          </w:r>
          <w:r>
            <w:tab/>
          </w:r>
          <w:r>
            <w:fldChar w:fldCharType="begin"/>
          </w:r>
          <w:r>
            <w:instrText xml:space="preserve"> PAGEREF _Toc4006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_Toc20687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  <w:lang w:val="en-US" w:eastAsia="zh-CN"/>
            </w:rPr>
            <w:t>二、运维平台详细运维功能介绍</w:t>
          </w:r>
          <w:r>
            <w:tab/>
          </w:r>
          <w:r>
            <w:fldChar w:fldCharType="begin"/>
          </w:r>
          <w:r>
            <w:instrText xml:space="preserve"> PAGEREF _Toc20687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_Toc19559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  <w:szCs w:val="36"/>
              <w:lang w:val="en-US" w:eastAsia="zh-CN"/>
            </w:rPr>
            <w:t xml:space="preserve">1. </w:t>
          </w:r>
          <w:r>
            <w:rPr>
              <w:rFonts w:hint="eastAsia" w:ascii="宋体" w:hAnsi="宋体" w:eastAsia="宋体" w:cs="宋体"/>
              <w:szCs w:val="36"/>
            </w:rPr>
            <w:t>监控大屏</w:t>
          </w:r>
          <w:r>
            <w:tab/>
          </w:r>
          <w:r>
            <w:fldChar w:fldCharType="begin"/>
          </w:r>
          <w:r>
            <w:instrText xml:space="preserve"> PAGEREF _Toc19559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_Toc19030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  <w:szCs w:val="36"/>
            </w:rPr>
            <w:t>2. 系统架构</w:t>
          </w:r>
          <w:r>
            <w:tab/>
          </w:r>
          <w:r>
            <w:fldChar w:fldCharType="begin"/>
          </w:r>
          <w:r>
            <w:instrText xml:space="preserve"> PAGEREF _Toc19030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_Toc13458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  <w:szCs w:val="36"/>
            </w:rPr>
            <w:t>3. 指标数据</w:t>
          </w:r>
          <w:r>
            <w:tab/>
          </w:r>
          <w:r>
            <w:fldChar w:fldCharType="begin"/>
          </w:r>
          <w:r>
            <w:instrText xml:space="preserve"> PAGEREF _Toc13458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  <w:bookmarkStart w:id="22" w:name="_GoBack"/>
          <w:bookmarkEnd w:id="22"/>
        </w:p>
        <w:p>
          <w:pPr>
            <w:pStyle w:val="11"/>
            <w:tabs>
              <w:tab w:val="right" w:leader="dot" w:pos="8306"/>
            </w:tabs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_Toc26420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  <w:szCs w:val="36"/>
            </w:rPr>
            <w:t>4. 系统维护</w:t>
          </w:r>
          <w:r>
            <w:tab/>
          </w:r>
          <w:r>
            <w:fldChar w:fldCharType="begin"/>
          </w:r>
          <w:r>
            <w:instrText xml:space="preserve"> PAGEREF _Toc26420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_Toc25340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  <w:szCs w:val="36"/>
            </w:rPr>
            <w:t>5. 系统&amp;配置</w:t>
          </w:r>
          <w:r>
            <w:tab/>
          </w:r>
          <w:r>
            <w:fldChar w:fldCharType="begin"/>
          </w:r>
          <w:r>
            <w:instrText xml:space="preserve"> PAGEREF _Toc25340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_Toc15755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  <w:szCs w:val="36"/>
            </w:rPr>
            <w:t>6. 日志管理</w:t>
          </w:r>
          <w:r>
            <w:tab/>
          </w:r>
          <w:r>
            <w:fldChar w:fldCharType="begin"/>
          </w:r>
          <w:r>
            <w:instrText xml:space="preserve"> PAGEREF _Toc15755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_Toc26969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7. </w:t>
          </w:r>
          <w:r>
            <w:rPr>
              <w:rFonts w:hint="eastAsia" w:ascii="宋体" w:hAnsi="宋体" w:eastAsia="宋体" w:cs="宋体"/>
              <w:szCs w:val="36"/>
            </w:rPr>
            <w:t>常规体检</w:t>
          </w:r>
          <w:r>
            <w:tab/>
          </w:r>
          <w:r>
            <w:fldChar w:fldCharType="begin"/>
          </w:r>
          <w:r>
            <w:instrText xml:space="preserve"> PAGEREF _Toc26969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_Toc1011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8. </w:t>
          </w:r>
          <w:r>
            <w:rPr>
              <w:rFonts w:hint="eastAsia" w:ascii="宋体" w:hAnsi="宋体" w:eastAsia="宋体" w:cs="宋体"/>
              <w:szCs w:val="36"/>
            </w:rPr>
            <w:t>告警中心</w:t>
          </w:r>
          <w:r>
            <w:tab/>
          </w:r>
          <w:r>
            <w:fldChar w:fldCharType="begin"/>
          </w:r>
          <w:r>
            <w:instrText xml:space="preserve"> PAGEREF _Toc1011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_Toc10441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  <w:szCs w:val="36"/>
            </w:rPr>
            <w:t>9. 资源中心</w:t>
          </w:r>
          <w:r>
            <w:tab/>
          </w:r>
          <w:r>
            <w:fldChar w:fldCharType="begin"/>
          </w:r>
          <w:r>
            <w:instrText xml:space="preserve"> PAGEREF _Toc10441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_Toc12362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  <w:szCs w:val="36"/>
            </w:rPr>
            <w:t>10. 升级中心</w:t>
          </w:r>
          <w:r>
            <w:tab/>
          </w:r>
          <w:r>
            <w:fldChar w:fldCharType="begin"/>
          </w:r>
          <w:r>
            <w:instrText xml:space="preserve"> PAGEREF _Toc12362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_Toc31726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  <w:szCs w:val="36"/>
            </w:rPr>
            <w:t>11. 文件管理</w:t>
          </w:r>
          <w:r>
            <w:tab/>
          </w:r>
          <w:r>
            <w:fldChar w:fldCharType="begin"/>
          </w:r>
          <w:r>
            <w:instrText xml:space="preserve"> PAGEREF _Toc31726 \h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_Toc26111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  <w:szCs w:val="36"/>
            </w:rPr>
            <w:t>12. 百宝箱</w:t>
          </w:r>
          <w:r>
            <w:tab/>
          </w:r>
          <w:r>
            <w:fldChar w:fldCharType="begin"/>
          </w:r>
          <w:r>
            <w:instrText xml:space="preserve"> PAGEREF _Toc26111 \h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_Toc9857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  <w:szCs w:val="36"/>
            </w:rPr>
            <w:t>13. 系统</w:t>
          </w:r>
          <w:r>
            <w:tab/>
          </w:r>
          <w:r>
            <w:fldChar w:fldCharType="begin"/>
          </w:r>
          <w:r>
            <w:instrText xml:space="preserve"> PAGEREF _Toc9857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hint="eastAsia" w:ascii="宋体" w:hAnsi="宋体" w:eastAsia="宋体" w:cs="宋体"/>
            </w:rPr>
            <w:fldChar w:fldCharType="begin"/>
          </w:r>
          <w:r>
            <w:rPr>
              <w:rFonts w:hint="eastAsia" w:ascii="宋体" w:hAnsi="宋体" w:eastAsia="宋体" w:cs="宋体"/>
            </w:rPr>
            <w:instrText xml:space="preserve"> HYPERLINK \l _Toc30664 </w:instrText>
          </w:r>
          <w:r>
            <w:rPr>
              <w:rFonts w:hint="eastAsia" w:ascii="宋体" w:hAnsi="宋体" w:eastAsia="宋体" w:cs="宋体"/>
            </w:rPr>
            <w:fldChar w:fldCharType="separate"/>
          </w:r>
          <w:r>
            <w:rPr>
              <w:rFonts w:hint="eastAsia" w:ascii="宋体" w:hAnsi="宋体" w:eastAsia="宋体" w:cs="宋体"/>
              <w:szCs w:val="36"/>
            </w:rPr>
            <w:t>14. 版本</w:t>
          </w:r>
          <w:r>
            <w:tab/>
          </w:r>
          <w:r>
            <w:fldChar w:fldCharType="begin"/>
          </w:r>
          <w:r>
            <w:instrText xml:space="preserve"> PAGEREF _Toc30664 \h </w:instrText>
          </w:r>
          <w:r>
            <w:fldChar w:fldCharType="separate"/>
          </w:r>
          <w:r>
            <w:t>27</w:t>
          </w:r>
          <w:r>
            <w:fldChar w:fldCharType="end"/>
          </w:r>
          <w:r>
            <w:rPr>
              <w:rFonts w:hint="eastAsia" w:ascii="宋体" w:hAnsi="宋体" w:eastAsia="宋体" w:cs="宋体"/>
            </w:rPr>
            <w:fldChar w:fldCharType="end"/>
          </w:r>
        </w:p>
        <w:p>
          <w:pPr>
            <w:spacing w:line="360" w:lineRule="auto"/>
            <w:rPr>
              <w:rFonts w:hint="eastAsia" w:ascii="宋体" w:hAnsi="宋体" w:eastAsia="宋体" w:cs="宋体"/>
            </w:rPr>
          </w:pPr>
          <w:r>
            <w:rPr>
              <w:rFonts w:hint="eastAsia" w:ascii="宋体" w:hAnsi="宋体" w:eastAsia="宋体" w:cs="宋体"/>
            </w:rPr>
            <w:fldChar w:fldCharType="end"/>
          </w:r>
        </w:p>
      </w:sdtContent>
    </w:sdt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br w:type="page"/>
      </w:r>
    </w:p>
    <w:p>
      <w:pPr>
        <w:pStyle w:val="2"/>
        <w:bidi w:val="0"/>
        <w:spacing w:line="360" w:lineRule="auto"/>
        <w:rPr>
          <w:rFonts w:hint="eastAsia" w:ascii="宋体" w:hAnsi="宋体" w:eastAsia="宋体" w:cs="宋体"/>
          <w:lang w:val="en-US" w:eastAsia="zh-CN"/>
        </w:rPr>
      </w:pPr>
      <w:bookmarkStart w:id="0" w:name="_Toc15093"/>
      <w:r>
        <w:rPr>
          <w:rFonts w:hint="eastAsia" w:ascii="宋体" w:hAnsi="宋体" w:eastAsia="宋体" w:cs="宋体"/>
          <w:lang w:val="en-US" w:eastAsia="zh-CN"/>
        </w:rPr>
        <w:t>一、运维平台常见运维操作</w:t>
      </w:r>
      <w:bookmarkEnd w:id="0"/>
    </w:p>
    <w:p>
      <w:pPr>
        <w:pStyle w:val="3"/>
        <w:numPr>
          <w:ilvl w:val="0"/>
          <w:numId w:val="0"/>
        </w:numPr>
        <w:bidi w:val="0"/>
        <w:spacing w:line="360" w:lineRule="auto"/>
        <w:rPr>
          <w:rFonts w:hint="eastAsia" w:ascii="宋体" w:hAnsi="宋体" w:eastAsia="宋体" w:cs="宋体"/>
          <w:lang w:val="en-US" w:eastAsia="zh-CN"/>
        </w:rPr>
      </w:pPr>
      <w:bookmarkStart w:id="1" w:name="_Toc2072"/>
      <w:r>
        <w:rPr>
          <w:rFonts w:hint="eastAsia" w:ascii="宋体" w:hAnsi="宋体" w:eastAsia="宋体" w:cs="宋体"/>
          <w:lang w:val="en-US" w:eastAsia="zh-CN"/>
        </w:rPr>
        <w:t>1. 如何下载服务日志</w:t>
      </w:r>
      <w:bookmarkEnd w:id="1"/>
    </w:p>
    <w:p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主要通过运维平台【日志管理&gt;日志下载】功能，选择指定的服务后勾选日志类型及时间范围，收集日志下载即可</w:t>
      </w:r>
    </w:p>
    <w:p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6690" cy="1939290"/>
            <wp:effectExtent l="0" t="0" r="1016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3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"/>
        </w:numPr>
        <w:bidi w:val="0"/>
        <w:spacing w:line="240" w:lineRule="auto"/>
        <w:rPr>
          <w:rFonts w:hint="eastAsia" w:ascii="宋体" w:hAnsi="宋体" w:eastAsia="宋体" w:cs="宋体"/>
          <w:lang w:val="en-US" w:eastAsia="zh-CN"/>
        </w:rPr>
      </w:pPr>
      <w:bookmarkStart w:id="2" w:name="_Toc1161"/>
      <w:r>
        <w:rPr>
          <w:rFonts w:hint="eastAsia" w:ascii="宋体" w:hAnsi="宋体" w:eastAsia="宋体" w:cs="宋体"/>
          <w:lang w:val="en-US" w:eastAsia="zh-CN"/>
        </w:rPr>
        <w:t>如何查看E10服务状态以及操作E10服务重启</w:t>
      </w:r>
      <w:bookmarkEnd w:id="2"/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在运维平台【系统维护】功能中可查看E10服务当前状态及对服务进行单独/批量启停操作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58435" cy="2148205"/>
            <wp:effectExtent l="0" t="0" r="18415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14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"/>
        </w:numPr>
        <w:bidi w:val="0"/>
        <w:ind w:left="0" w:leftChars="0" w:firstLine="0" w:firstLineChars="0"/>
        <w:rPr>
          <w:rFonts w:hint="eastAsia"/>
          <w:lang w:val="en-US" w:eastAsia="zh-CN"/>
        </w:rPr>
      </w:pPr>
      <w:bookmarkStart w:id="3" w:name="_Toc27415"/>
      <w:r>
        <w:rPr>
          <w:rFonts w:hint="eastAsia" w:ascii="宋体" w:hAnsi="宋体" w:eastAsia="宋体" w:cs="宋体"/>
          <w:lang w:val="en-US" w:eastAsia="zh-CN"/>
        </w:rPr>
        <w:t>如何进行E10服务升级</w:t>
      </w:r>
      <w:bookmarkEnd w:id="3"/>
    </w:p>
    <w:p>
      <w:pPr>
        <w:numPr>
          <w:ilvl w:val="1"/>
          <w:numId w:val="1"/>
        </w:numPr>
        <w:spacing w:line="360" w:lineRule="auto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admin账户登陆运维平台—【升级中心】—【升级助手】—【导出版本】</w:t>
      </w:r>
    </w:p>
    <w:p>
      <w:pPr>
        <w:numPr>
          <w:ilvl w:val="0"/>
          <w:numId w:val="0"/>
        </w:numPr>
        <w:spacing w:line="360" w:lineRule="auto"/>
        <w:ind w:leftChars="0" w:firstLine="420" w:firstLineChars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首先需要导出当前环境的服务版本信息，根据版本信息文件在自用系统中提交升级包申请流程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lang w:val="en-US" w:eastAsia="zh-CN"/>
        </w:rPr>
      </w:pPr>
    </w:p>
    <w:p>
      <w:pPr>
        <w:numPr>
          <w:ilvl w:val="0"/>
          <w:numId w:val="0"/>
        </w:numPr>
        <w:ind w:leftChars="0"/>
      </w:pPr>
    </w:p>
    <w:p>
      <w:pPr>
        <w:numPr>
          <w:ilvl w:val="0"/>
          <w:numId w:val="0"/>
        </w:numPr>
        <w:ind w:leftChars="0"/>
      </w:pPr>
    </w:p>
    <w:p>
      <w:pPr>
        <w:numPr>
          <w:ilvl w:val="0"/>
          <w:numId w:val="0"/>
        </w:numPr>
        <w:ind w:leftChars="0"/>
        <w:rPr>
          <w:rFonts w:hint="default" w:ascii="宋体" w:hAnsi="宋体" w:eastAsia="宋体" w:cs="宋体"/>
          <w:lang w:val="en-US" w:eastAsia="zh-CN"/>
        </w:rPr>
      </w:pPr>
      <w:r>
        <w:drawing>
          <wp:inline distT="0" distB="0" distL="114300" distR="114300">
            <wp:extent cx="5266690" cy="2468880"/>
            <wp:effectExtent l="0" t="0" r="10160" b="762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numPr>
          <w:ilvl w:val="1"/>
          <w:numId w:val="1"/>
        </w:numPr>
        <w:spacing w:line="360" w:lineRule="auto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升级包申请</w:t>
      </w:r>
    </w:p>
    <w:p>
      <w:pPr>
        <w:numPr>
          <w:ilvl w:val="0"/>
          <w:numId w:val="0"/>
        </w:numPr>
        <w:spacing w:line="360" w:lineRule="auto"/>
        <w:ind w:leftChars="0"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E10公司自用系统【流程&gt;提交申请&gt;E10功能及版本升级流程】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6055" cy="2519045"/>
            <wp:effectExtent l="0" t="0" r="10795" b="1460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51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流程中需要填写的信息如下示例：</w:t>
      </w:r>
    </w:p>
    <w:p>
      <w:r>
        <w:drawing>
          <wp:inline distT="0" distB="0" distL="114300" distR="114300">
            <wp:extent cx="5014595" cy="2092325"/>
            <wp:effectExtent l="0" t="0" r="14605" b="317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14595" cy="209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055" cy="2519045"/>
            <wp:effectExtent l="0" t="0" r="10795" b="14605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51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055" cy="2519045"/>
            <wp:effectExtent l="0" t="0" r="10795" b="14605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51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055" cy="2519045"/>
            <wp:effectExtent l="0" t="0" r="10795" b="14605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51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5271135" cy="3019425"/>
            <wp:effectExtent l="0" t="0" r="5715" b="9525"/>
            <wp:docPr id="1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1"/>
          <w:numId w:val="1"/>
        </w:numPr>
        <w:spacing w:line="360" w:lineRule="auto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服务升级</w:t>
      </w:r>
    </w:p>
    <w:p>
      <w:pPr>
        <w:numPr>
          <w:ilvl w:val="0"/>
          <w:numId w:val="0"/>
        </w:numPr>
        <w:spacing w:line="360" w:lineRule="auto"/>
        <w:ind w:leftChars="0"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进入运维平台【升级中心&gt;服务升级】，可进行选择预服务升级和正常服务升级；根据升级页面的提示，上传补丁包一步步操作即可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468880"/>
            <wp:effectExtent l="0" t="0" r="10160" b="7620"/>
            <wp:docPr id="1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"/>
        </w:numPr>
        <w:bidi w:val="0"/>
        <w:ind w:left="0" w:leftChars="0" w:firstLine="0" w:firstLineChars="0"/>
        <w:rPr>
          <w:rFonts w:hint="eastAsia" w:ascii="宋体" w:hAnsi="宋体" w:eastAsia="宋体" w:cs="宋体"/>
          <w:lang w:val="en-US" w:eastAsia="zh-CN"/>
        </w:rPr>
      </w:pPr>
      <w:bookmarkStart w:id="4" w:name="_Toc19840"/>
      <w:r>
        <w:rPr>
          <w:rFonts w:hint="eastAsia" w:ascii="宋体" w:hAnsi="宋体" w:eastAsia="宋体" w:cs="宋体"/>
          <w:lang w:val="en-US" w:eastAsia="zh-CN"/>
        </w:rPr>
        <w:t>如何操作运维平台主节点服务重启</w:t>
      </w:r>
      <w:bookmarkEnd w:id="4"/>
    </w:p>
    <w:p>
      <w:pPr>
        <w:numPr>
          <w:ilvl w:val="0"/>
          <w:numId w:val="2"/>
        </w:numPr>
        <w:spacing w:line="360" w:lineRule="auto"/>
        <w:ind w:leftChars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点击运维平台页面左下角【系统】选择【主节点管理】进入管理页面即可操作</w:t>
      </w:r>
    </w:p>
    <w:p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73040" cy="2367915"/>
            <wp:effectExtent l="0" t="0" r="3810" b="133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367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"/>
        </w:numPr>
        <w:bidi w:val="0"/>
        <w:ind w:left="0" w:leftChars="0" w:firstLine="0" w:firstLineChars="0"/>
        <w:rPr>
          <w:rFonts w:hint="eastAsia" w:ascii="宋体" w:hAnsi="宋体" w:eastAsia="宋体" w:cs="宋体"/>
          <w:lang w:val="en-US" w:eastAsia="zh-CN"/>
        </w:rPr>
      </w:pPr>
      <w:bookmarkStart w:id="5" w:name="_Toc9976"/>
      <w:r>
        <w:rPr>
          <w:rFonts w:hint="eastAsia" w:ascii="宋体" w:hAnsi="宋体" w:eastAsia="宋体" w:cs="宋体"/>
          <w:lang w:val="en-US" w:eastAsia="zh-CN"/>
        </w:rPr>
        <w:t>如何操作运维平台代理节点服务的重启</w:t>
      </w:r>
      <w:bookmarkEnd w:id="5"/>
    </w:p>
    <w:p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点击运维平台页面左下角【系统】选择【代理服务管理】进入管理页面即可操作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0975" cy="2463800"/>
            <wp:effectExtent l="0" t="0" r="15875" b="1270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46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"/>
        </w:numPr>
        <w:bidi w:val="0"/>
        <w:ind w:left="0" w:leftChars="0" w:firstLine="0" w:firstLineChars="0"/>
        <w:rPr>
          <w:rFonts w:hint="eastAsia" w:ascii="宋体" w:hAnsi="宋体" w:eastAsia="宋体" w:cs="宋体"/>
          <w:lang w:val="en-US" w:eastAsia="zh-CN"/>
        </w:rPr>
      </w:pPr>
      <w:bookmarkStart w:id="6" w:name="_Toc4006"/>
      <w:r>
        <w:rPr>
          <w:rFonts w:hint="eastAsia" w:ascii="宋体" w:hAnsi="宋体" w:eastAsia="宋体" w:cs="宋体"/>
          <w:lang w:val="en-US" w:eastAsia="zh-CN"/>
        </w:rPr>
        <w:t>如何查看告警信息</w:t>
      </w:r>
      <w:bookmarkEnd w:id="6"/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通过【告警中心&gt;告警事件】选择对应的服务节点即可查看业务服务告警信息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【告警中心&gt;消息中心】此页面中显示的信息是指被设置推送到指定接收人的告警信息类型</w:t>
      </w:r>
    </w:p>
    <w:p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6690" cy="2468880"/>
            <wp:effectExtent l="0" t="0" r="1016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bidi w:val="0"/>
        <w:spacing w:line="360" w:lineRule="auto"/>
        <w:jc w:val="left"/>
        <w:rPr>
          <w:rFonts w:hint="eastAsia" w:ascii="宋体" w:hAnsi="宋体" w:eastAsia="宋体" w:cs="宋体"/>
        </w:rPr>
      </w:pPr>
      <w:bookmarkStart w:id="7" w:name="_Toc20687"/>
      <w:r>
        <w:rPr>
          <w:rFonts w:hint="eastAsia" w:ascii="宋体" w:hAnsi="宋体" w:eastAsia="宋体" w:cs="宋体"/>
          <w:lang w:val="en-US" w:eastAsia="zh-CN"/>
        </w:rPr>
        <w:t>二、运维平台详细运维功能介绍</w:t>
      </w:r>
      <w:bookmarkEnd w:id="7"/>
    </w:p>
    <w:p>
      <w:pPr>
        <w:pStyle w:val="3"/>
        <w:spacing w:beforeLines="100" w:afterLines="100" w:line="240" w:lineRule="auto"/>
        <w:rPr>
          <w:rFonts w:hint="eastAsia" w:ascii="宋体" w:hAnsi="宋体" w:eastAsia="宋体" w:cs="宋体"/>
          <w:sz w:val="36"/>
          <w:szCs w:val="36"/>
        </w:rPr>
      </w:pPr>
      <w:bookmarkStart w:id="8" w:name="_Toc19559"/>
      <w:r>
        <w:rPr>
          <w:rFonts w:hint="eastAsia" w:ascii="宋体" w:hAnsi="宋体" w:eastAsia="宋体" w:cs="宋体"/>
          <w:sz w:val="36"/>
          <w:szCs w:val="36"/>
          <w:lang w:val="en-US" w:eastAsia="zh-CN"/>
        </w:rPr>
        <w:t xml:space="preserve">1. </w:t>
      </w:r>
      <w:r>
        <w:rPr>
          <w:rFonts w:hint="eastAsia" w:ascii="宋体" w:hAnsi="宋体" w:eastAsia="宋体" w:cs="宋体"/>
          <w:sz w:val="36"/>
          <w:szCs w:val="36"/>
        </w:rPr>
        <w:t>监控大屏</w:t>
      </w:r>
      <w:bookmarkEnd w:id="8"/>
    </w:p>
    <w:p>
      <w:pPr>
        <w:spacing w:line="360" w:lineRule="auto"/>
        <w:jc w:val="left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监控大屏是以卡片的形式清晰地显示各项指标，让使用者可以对整个OA生态有宏观的掌控。</w:t>
      </w:r>
    </w:p>
    <w:p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Cs w:val="21"/>
        </w:rPr>
        <w:t>具体包括以下内容：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266690" cy="2474595"/>
            <wp:effectExtent l="0" t="0" r="6350" b="9525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Lines="50" w:afterLines="50" w:line="360" w:lineRule="auto"/>
        <w:rPr>
          <w:rFonts w:hint="eastAsia" w:ascii="宋体" w:hAnsi="宋体" w:eastAsia="宋体" w:cs="宋体"/>
          <w:b w:val="0"/>
          <w:bCs w:val="0"/>
          <w:sz w:val="21"/>
          <w:szCs w:val="21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</w:rPr>
        <w:t>1.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1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</w:rPr>
        <w:t>告警卡片</w:t>
      </w:r>
    </w:p>
    <w:p>
      <w:pPr>
        <w:spacing w:line="360" w:lineRule="auto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4150" cy="913130"/>
            <wp:effectExtent l="0" t="0" r="8890" b="1270"/>
            <wp:docPr id="10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91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可推送实时自动检查结果, 一定程度提前告知风险项，统计出一段时间内告警数量，对比整体运行情况。</w:t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将鼠标放置在【告警统计】卡片的每一个图标，都可详细展现图标信息。例：将鼠标放置在【告警总数】icon，可显示服务器登录用户数、服务器负载、JVM内存溢出告警和服务器网络接收速度。</w:t>
      </w:r>
    </w:p>
    <w:p>
      <w:pPr>
        <w:spacing w:line="360" w:lineRule="auto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3359150" cy="1715135"/>
            <wp:effectExtent l="0" t="0" r="8890" b="6985"/>
            <wp:docPr id="10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359150" cy="171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点击【告警统计】右上角下拉按钮，可切换统计时间，当前支持查看的时间维度包含：今天、本周和本月。</w:t>
      </w:r>
    </w:p>
    <w:p>
      <w:pPr>
        <w:spacing w:line="360" w:lineRule="auto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3345180" cy="1706880"/>
            <wp:effectExtent l="0" t="0" r="7620" b="0"/>
            <wp:docPr id="1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34518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宋体" w:hAnsi="宋体" w:eastAsia="宋体" w:cs="宋体"/>
        </w:rPr>
      </w:pPr>
    </w:p>
    <w:p>
      <w:pPr>
        <w:pStyle w:val="5"/>
        <w:spacing w:beforeLines="50" w:afterLines="50" w:line="360" w:lineRule="auto"/>
        <w:rPr>
          <w:rFonts w:hint="eastAsia" w:ascii="宋体" w:hAnsi="宋体" w:eastAsia="宋体" w:cs="宋体"/>
          <w:b w:val="0"/>
          <w:bCs w:val="0"/>
          <w:sz w:val="24"/>
          <w:szCs w:val="24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1.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</w:rPr>
        <w:t>2服务状态卡片</w:t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显示实时所有服务运行状态。点击对应的图标，可展示详细的服务状态弹窗，日志下载、系统维护一键到达，方便运维工作。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71770" cy="977900"/>
            <wp:effectExtent l="0" t="0" r="1270" b="12700"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97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以【宕机】为例，点击【宕机】，可查看宕机的服务状态详情：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71770" cy="3344545"/>
            <wp:effectExtent l="0" t="0" r="1270" b="8255"/>
            <wp:docPr id="2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34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点击weaver-esearch-analysis-service服务对应的【日志下载】或【系统维护】，会直接跳转到对应界面，此处以点击【系统维护】为例：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6690" cy="1094740"/>
            <wp:effectExtent l="9525" t="9525" r="12065" b="23495"/>
            <wp:docPr id="2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0947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宋体" w:hAnsi="宋体" w:eastAsia="宋体" w:cs="宋体"/>
        </w:rPr>
      </w:pPr>
    </w:p>
    <w:p>
      <w:pPr>
        <w:pStyle w:val="5"/>
        <w:spacing w:beforeLines="50" w:afterLines="50" w:line="360" w:lineRule="auto"/>
        <w:rPr>
          <w:rFonts w:hint="eastAsia" w:ascii="宋体" w:hAnsi="宋体" w:eastAsia="宋体" w:cs="宋体"/>
          <w:b w:val="0"/>
          <w:bCs w:val="0"/>
          <w:sz w:val="24"/>
          <w:szCs w:val="24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1.3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</w:rPr>
        <w:t>性能指标卡片</w:t>
      </w:r>
    </w:p>
    <w:p>
      <w:pPr>
        <w:spacing w:line="360" w:lineRule="auto"/>
        <w:jc w:val="center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7325" cy="1843405"/>
            <wp:effectExtent l="0" t="0" r="5715" b="635"/>
            <wp:docPr id="1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84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展示相关指标top3服务，快速了解服务性能状态。</w:t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根据各项指标的监控特点不同，在卡片右上角的下拉按钮可切换时间维度或监控角色来源。例：点击【服务器负载占比 Top3】卡片右上角，可查看近1分钟负载、5分钟负载、15分钟负载。</w:t>
      </w:r>
    </w:p>
    <w:p>
      <w:pPr>
        <w:spacing w:line="360" w:lineRule="auto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8595" cy="1824355"/>
            <wp:effectExtent l="0" t="0" r="4445" b="4445"/>
            <wp:docPr id="1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82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将鼠标放置在卡片统计图区域，可详细显示卡片统计项具体信息。例：将鼠标放置在【http平均响应时间Top3】，可显示时间时间、服务名称、IP地址和响应时间。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73040" cy="1380490"/>
            <wp:effectExtent l="0" t="0" r="0" b="6350"/>
            <wp:docPr id="11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38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宋体" w:hAnsi="宋体" w:eastAsia="宋体" w:cs="宋体"/>
        </w:rPr>
      </w:pPr>
    </w:p>
    <w:p>
      <w:pPr>
        <w:pStyle w:val="5"/>
        <w:spacing w:beforeLines="50" w:afterLines="50"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1.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</w:rPr>
        <w:t>4服务器监控卡片</w:t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能够展示所有服务器的运行情况和配置资源对比，清晰了然。</w:t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（1）点击【服务器监控】—【失联】或【正常】，可查看详情。本图片以点击【失联】为例，可显示IP地址、服务器名称、服务器类型。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589405" cy="1363980"/>
            <wp:effectExtent l="0" t="0" r="10795" b="7620"/>
            <wp:docPr id="2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589405" cy="136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3565525" cy="1369060"/>
            <wp:effectExtent l="0" t="0" r="635" b="2540"/>
            <wp:docPr id="2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565525" cy="136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（2）点击【服务器配置资源对比】中图标，可查看内存总量、CPU核心数、操作系统的具体信息。本图片【内存总量】为例，可清晰的了解到服务器的内存总量和所对应的数量。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594485" cy="1316990"/>
            <wp:effectExtent l="0" t="0" r="5715" b="8890"/>
            <wp:docPr id="2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94485" cy="131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3583940" cy="1323340"/>
            <wp:effectExtent l="0" t="0" r="12700" b="2540"/>
            <wp:docPr id="2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583940" cy="132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Lines="50" w:afterLines="50" w:line="360" w:lineRule="auto"/>
        <w:rPr>
          <w:rFonts w:hint="eastAsia" w:ascii="宋体" w:hAnsi="宋体" w:eastAsia="宋体" w:cs="宋体"/>
          <w:b w:val="0"/>
          <w:bCs w:val="0"/>
          <w:sz w:val="24"/>
          <w:szCs w:val="24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1.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</w:rPr>
        <w:t>5操作日志卡片</w:t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实时推送不同运维人员所需要的操作日志，时刻监控服务器数据安全，且方便排查人工操作引起系统问题。</w:t>
      </w:r>
    </w:p>
    <w:p>
      <w:pPr>
        <w:spacing w:line="360" w:lineRule="auto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3162300" cy="1769110"/>
            <wp:effectExtent l="0" t="0" r="7620" b="13970"/>
            <wp:docPr id="3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176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2"/>
        </w:numPr>
        <w:spacing w:beforeLines="100" w:afterLines="100" w:line="360" w:lineRule="auto"/>
        <w:ind w:left="0" w:leftChars="0" w:firstLine="0" w:firstLineChars="0"/>
        <w:rPr>
          <w:rFonts w:hint="eastAsia" w:ascii="宋体" w:hAnsi="宋体" w:eastAsia="宋体" w:cs="宋体"/>
          <w:sz w:val="36"/>
          <w:szCs w:val="36"/>
        </w:rPr>
      </w:pPr>
      <w:bookmarkStart w:id="9" w:name="_Toc19030"/>
      <w:r>
        <w:rPr>
          <w:rFonts w:hint="eastAsia" w:ascii="宋体" w:hAnsi="宋体" w:eastAsia="宋体" w:cs="宋体"/>
          <w:sz w:val="36"/>
          <w:szCs w:val="36"/>
        </w:rPr>
        <w:t>系统架构</w:t>
      </w:r>
      <w:bookmarkEnd w:id="9"/>
    </w:p>
    <w:p>
      <w:pPr>
        <w:pStyle w:val="21"/>
        <w:spacing w:line="360" w:lineRule="auto"/>
        <w:ind w:left="420" w:firstLine="0" w:firstLineChars="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此功能可以直观展示当前环境服务的部署情况。</w:t>
      </w:r>
    </w:p>
    <w:p>
      <w:pPr>
        <w:pStyle w:val="21"/>
        <w:spacing w:line="360" w:lineRule="auto"/>
        <w:ind w:left="420" w:firstLine="0" w:firstLineChars="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具体内容如下：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274310" cy="2824480"/>
            <wp:effectExtent l="19050" t="0" r="2540" b="0"/>
            <wp:docPr id="17" name="图片 1" descr="C:\Users\Administrator\Downloads\QQ截图202304141408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 descr="C:\Users\Administrator\Downloads\QQ截图20230414140859.pn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4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宋体" w:hAnsi="宋体" w:eastAsia="宋体" w:cs="宋体"/>
        </w:rPr>
      </w:pPr>
    </w:p>
    <w:p>
      <w:pPr>
        <w:pStyle w:val="3"/>
        <w:numPr>
          <w:ilvl w:val="0"/>
          <w:numId w:val="2"/>
        </w:numPr>
        <w:spacing w:beforeLines="100" w:afterLines="100" w:line="360" w:lineRule="auto"/>
        <w:ind w:left="0" w:leftChars="0" w:firstLine="0" w:firstLineChars="0"/>
        <w:rPr>
          <w:rFonts w:hint="eastAsia" w:ascii="宋体" w:hAnsi="宋体" w:eastAsia="宋体" w:cs="宋体"/>
          <w:sz w:val="36"/>
          <w:szCs w:val="36"/>
        </w:rPr>
      </w:pPr>
      <w:bookmarkStart w:id="10" w:name="_Toc13458"/>
      <w:r>
        <w:rPr>
          <w:rFonts w:hint="eastAsia" w:ascii="宋体" w:hAnsi="宋体" w:eastAsia="宋体" w:cs="宋体"/>
          <w:sz w:val="36"/>
          <w:szCs w:val="36"/>
        </w:rPr>
        <w:t>指标数据</w:t>
      </w:r>
      <w:bookmarkEnd w:id="10"/>
    </w:p>
    <w:p>
      <w:pPr>
        <w:spacing w:line="360" w:lineRule="auto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包含业务服务、周边服务、服务器各项指标数据图形化显示。</w:t>
      </w:r>
    </w:p>
    <w:p>
      <w:pPr>
        <w:pStyle w:val="5"/>
        <w:spacing w:beforeLines="50" w:afterLines="50" w:line="360" w:lineRule="auto"/>
        <w:rPr>
          <w:rFonts w:hint="eastAsia" w:ascii="宋体" w:hAnsi="宋体" w:eastAsia="宋体" w:cs="宋体"/>
          <w:b w:val="0"/>
          <w:bCs w:val="0"/>
          <w:sz w:val="24"/>
          <w:szCs w:val="24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3.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</w:rPr>
        <w:t>1业务服务</w:t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（1）支持关键字搜索，可在右上角搜索框输入后查询；</w:t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（2）支持按条件筛选，可根据ID地址和服务名称查询；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6690" cy="2474595"/>
            <wp:effectExtent l="9525" t="9525" r="12065" b="15240"/>
            <wp:docPr id="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szCs w:val="21"/>
        </w:rPr>
        <w:t>（3）支持前6分钟、前半小时、前一小时、前三小时快捷查询和自定义时间查询，精确到分钟。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73040" cy="2294890"/>
            <wp:effectExtent l="9525" t="9525" r="20955" b="12065"/>
            <wp:docPr id="5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2948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Lines="50" w:afterLines="50" w:line="360" w:lineRule="auto"/>
        <w:rPr>
          <w:rFonts w:hint="eastAsia" w:ascii="宋体" w:hAnsi="宋体" w:eastAsia="宋体" w:cs="宋体"/>
          <w:b w:val="0"/>
          <w:bCs w:val="0"/>
          <w:sz w:val="24"/>
          <w:szCs w:val="24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3.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</w:rPr>
        <w:t>2周边服务</w:t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周边服务是指e10服务依赖的非业务基础服务。包含当前服务类型、服务状态、服务名、内存信息、已连接客户端信息等。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2245" cy="2492375"/>
            <wp:effectExtent l="9525" t="9525" r="16510" b="12700"/>
            <wp:docPr id="6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4923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Lines="50" w:afterLines="50" w:line="360" w:lineRule="auto"/>
        <w:rPr>
          <w:rFonts w:hint="eastAsia" w:ascii="宋体" w:hAnsi="宋体" w:eastAsia="宋体" w:cs="宋体"/>
          <w:b w:val="0"/>
          <w:bCs w:val="0"/>
          <w:sz w:val="24"/>
          <w:szCs w:val="24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3.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</w:rPr>
        <w:t>3服务器</w:t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可根据IP地址查看监控状态、服务名、IP端口、总内存，支持固定时间快捷查询和自定义查询服务器负载、CPU、内存状态、系统进程数等指标。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4150" cy="2329815"/>
            <wp:effectExtent l="9525" t="9525" r="14605" b="22860"/>
            <wp:docPr id="6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298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2"/>
        </w:numPr>
        <w:spacing w:beforeLines="100" w:afterLines="100" w:line="360" w:lineRule="auto"/>
        <w:ind w:left="0" w:leftChars="0" w:firstLine="0" w:firstLineChars="0"/>
        <w:rPr>
          <w:rFonts w:hint="eastAsia" w:ascii="宋体" w:hAnsi="宋体" w:eastAsia="宋体" w:cs="宋体"/>
          <w:sz w:val="36"/>
          <w:szCs w:val="36"/>
        </w:rPr>
      </w:pPr>
      <w:bookmarkStart w:id="11" w:name="_Toc26420"/>
      <w:r>
        <w:rPr>
          <w:rFonts w:hint="eastAsia" w:ascii="宋体" w:hAnsi="宋体" w:eastAsia="宋体" w:cs="宋体"/>
          <w:sz w:val="36"/>
          <w:szCs w:val="36"/>
        </w:rPr>
        <w:t>系统维护</w:t>
      </w:r>
      <w:bookmarkEnd w:id="11"/>
    </w:p>
    <w:p>
      <w:pPr>
        <w:spacing w:line="360" w:lineRule="auto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实时显示各服务运行状态（包含周边服务），可分类检索异常或正常运行的服务，可批量进行启停操作。</w:t>
      </w:r>
    </w:p>
    <w:p>
      <w:pPr>
        <w:spacing w:line="360" w:lineRule="auto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基础周边服务  ：E10业务服务所用的周边服务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6690" cy="2474595"/>
            <wp:effectExtent l="9525" t="9525" r="12065" b="15240"/>
            <wp:docPr id="6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监控周边服务：即ELK，是日志系统的相关服务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6690" cy="1772920"/>
            <wp:effectExtent l="9525" t="9525" r="12065" b="15875"/>
            <wp:docPr id="6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729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宋体" w:hAnsi="宋体" w:eastAsia="宋体" w:cs="宋体"/>
        </w:rPr>
      </w:pPr>
    </w:p>
    <w:p>
      <w:pPr>
        <w:pStyle w:val="3"/>
        <w:numPr>
          <w:ilvl w:val="0"/>
          <w:numId w:val="2"/>
        </w:numPr>
        <w:spacing w:beforeLines="100" w:afterLines="100" w:line="360" w:lineRule="auto"/>
        <w:ind w:left="0" w:leftChars="0" w:firstLine="0" w:firstLineChars="0"/>
        <w:rPr>
          <w:rFonts w:hint="eastAsia" w:ascii="宋体" w:hAnsi="宋体" w:eastAsia="宋体" w:cs="宋体"/>
          <w:sz w:val="36"/>
          <w:szCs w:val="36"/>
        </w:rPr>
      </w:pPr>
      <w:bookmarkStart w:id="12" w:name="_Toc25340"/>
      <w:r>
        <w:rPr>
          <w:rFonts w:hint="eastAsia" w:ascii="宋体" w:hAnsi="宋体" w:eastAsia="宋体" w:cs="宋体"/>
          <w:sz w:val="36"/>
          <w:szCs w:val="36"/>
        </w:rPr>
        <w:t>系统&amp;配置</w:t>
      </w:r>
      <w:bookmarkEnd w:id="12"/>
    </w:p>
    <w:p>
      <w:pPr>
        <w:pStyle w:val="5"/>
        <w:spacing w:beforeLines="50" w:afterLines="50" w:line="360" w:lineRule="auto"/>
        <w:rPr>
          <w:rFonts w:hint="eastAsia" w:ascii="宋体" w:hAnsi="宋体" w:eastAsia="宋体" w:cs="宋体"/>
          <w:b w:val="0"/>
          <w:bCs w:val="0"/>
          <w:sz w:val="24"/>
          <w:szCs w:val="24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5.1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</w:rPr>
        <w:t>系统信息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系统信息功能 旨在提供日常运维中所有可能用到的系统相关信息。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具体如下：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274310" cy="2127885"/>
            <wp:effectExtent l="19050" t="0" r="2540" b="0"/>
            <wp:docPr id="23" name="图片 2" descr="C:\Users\Administrator\Downloads\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" descr="C:\Users\Administrator\Downloads\111.pn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28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上图：系统信息菜单的全局信息展示</w:t>
      </w:r>
    </w:p>
    <w:p>
      <w:pPr>
        <w:spacing w:line="360" w:lineRule="auto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274310" cy="2402205"/>
            <wp:effectExtent l="19050" t="0" r="2540" b="0"/>
            <wp:docPr id="34" name="图片 3" descr="C:\Users\Administrator\Downloads\2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" descr="C:\Users\Administrator\Downloads\2222.pn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2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上图：系统信息菜单的周边服务信息展示</w:t>
      </w:r>
    </w:p>
    <w:p>
      <w:pPr>
        <w:spacing w:line="360" w:lineRule="auto"/>
        <w:jc w:val="center"/>
        <w:rPr>
          <w:rFonts w:hint="eastAsia" w:ascii="宋体" w:hAnsi="宋体" w:eastAsia="宋体" w:cs="宋体"/>
        </w:rPr>
      </w:pPr>
    </w:p>
    <w:p>
      <w:pPr>
        <w:spacing w:line="360" w:lineRule="auto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274310" cy="2028190"/>
            <wp:effectExtent l="19050" t="0" r="2540" b="0"/>
            <wp:docPr id="35" name="图片 4" descr="C:\Users\Administrator\Downloads\3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4" descr="C:\Users\Administrator\Downloads\333.pn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284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 w:ascii="宋体" w:hAnsi="宋体" w:eastAsia="宋体" w:cs="宋体"/>
        </w:rPr>
      </w:pPr>
    </w:p>
    <w:p>
      <w:pPr>
        <w:spacing w:line="360" w:lineRule="auto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274310" cy="2145030"/>
            <wp:effectExtent l="19050" t="0" r="2540" b="0"/>
            <wp:docPr id="36" name="图片 5" descr="C:\Users\Administrator\Downloads\55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5" descr="C:\Users\Administrator\Downloads\5555.pn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5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上图：系统信息菜单的业务服务信息展示</w:t>
      </w:r>
    </w:p>
    <w:p>
      <w:pPr>
        <w:pStyle w:val="3"/>
        <w:numPr>
          <w:ilvl w:val="0"/>
          <w:numId w:val="2"/>
        </w:numPr>
        <w:spacing w:beforeLines="100" w:afterLines="100" w:line="360" w:lineRule="auto"/>
        <w:ind w:left="0" w:leftChars="0" w:firstLine="0" w:firstLineChars="0"/>
        <w:rPr>
          <w:rFonts w:hint="eastAsia" w:ascii="宋体" w:hAnsi="宋体" w:eastAsia="宋体" w:cs="宋体"/>
          <w:sz w:val="36"/>
          <w:szCs w:val="36"/>
        </w:rPr>
      </w:pPr>
      <w:bookmarkStart w:id="13" w:name="_Toc15755"/>
      <w:r>
        <w:rPr>
          <w:rFonts w:hint="eastAsia" w:ascii="宋体" w:hAnsi="宋体" w:eastAsia="宋体" w:cs="宋体"/>
          <w:sz w:val="36"/>
          <w:szCs w:val="36"/>
        </w:rPr>
        <w:t>日志管理</w:t>
      </w:r>
      <w:bookmarkEnd w:id="13"/>
    </w:p>
    <w:p>
      <w:pPr>
        <w:spacing w:line="360" w:lineRule="auto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分为日志下载、日志查询、日志设置、日志清理 四个工具，基本涵盖所有日志相关操作。</w:t>
      </w:r>
    </w:p>
    <w:p>
      <w:pPr>
        <w:pStyle w:val="5"/>
        <w:spacing w:beforeLines="50" w:afterLines="50" w:line="360" w:lineRule="auto"/>
        <w:rPr>
          <w:rFonts w:hint="eastAsia" w:ascii="宋体" w:hAnsi="宋体" w:eastAsia="宋体" w:cs="宋体"/>
          <w:b w:val="0"/>
          <w:bCs w:val="0"/>
          <w:sz w:val="24"/>
          <w:szCs w:val="24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6.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</w:rPr>
        <w:t>1日志下载</w:t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可收集并下载不同时段各项日志，客户线上问题处理必备工具之一。点击【重新选择】</w:t>
      </w:r>
    </w:p>
    <w:p>
      <w:pPr>
        <w:spacing w:line="360" w:lineRule="auto"/>
        <w:rPr>
          <w:rFonts w:hint="eastAsia" w:ascii="宋体" w:hAnsi="宋体" w:eastAsia="宋体" w:cs="宋体"/>
          <w:b/>
        </w:rPr>
      </w:pPr>
      <w:r>
        <w:rPr>
          <w:rFonts w:hint="eastAsia" w:ascii="宋体" w:hAnsi="宋体" w:eastAsia="宋体" w:cs="宋体"/>
        </w:rPr>
        <w:tab/>
      </w:r>
      <w:r>
        <w:rPr>
          <w:rFonts w:hint="eastAsia" w:ascii="宋体" w:hAnsi="宋体" w:eastAsia="宋体" w:cs="宋体"/>
          <w:b/>
        </w:rPr>
        <w:t>注：应用日志可以指定到具体时分秒下载，运维平台将会仅下载对应时段日志。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274310" cy="1804670"/>
            <wp:effectExtent l="19050" t="0" r="2540" b="0"/>
            <wp:docPr id="42" name="图片 1" descr="C:\Users\Administrator\Downloads\QQ截图202304141638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" descr="C:\Users\Administrator\Downloads\QQ截图20230414163859.pn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050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弹出【服务选择】，可根据需求进行关键字检索或按IP地址、服务名称选择。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6690" cy="1831340"/>
            <wp:effectExtent l="9525" t="9525" r="12065" b="18415"/>
            <wp:docPr id="6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10"/>
                    <pic:cNvPicPr>
                      <a:picLocks noChangeAspect="1"/>
                    </pic:cNvPicPr>
                  </pic:nvPicPr>
                  <pic:blipFill>
                    <a:blip r:embed="rId44"/>
                    <a:srcRect t="32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313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检索结果如下：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8595" cy="2440940"/>
            <wp:effectExtent l="9525" t="9525" r="10160" b="18415"/>
            <wp:docPr id="6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409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宋体" w:hAnsi="宋体" w:eastAsia="宋体" w:cs="宋体"/>
        </w:rPr>
      </w:pPr>
    </w:p>
    <w:p>
      <w:pPr>
        <w:pStyle w:val="5"/>
        <w:spacing w:beforeLines="50" w:afterLines="50" w:line="360" w:lineRule="auto"/>
        <w:rPr>
          <w:rFonts w:hint="eastAsia" w:ascii="宋体" w:hAnsi="宋体" w:eastAsia="宋体" w:cs="宋体"/>
          <w:b w:val="0"/>
          <w:bCs w:val="0"/>
          <w:sz w:val="24"/>
          <w:szCs w:val="24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6.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</w:rPr>
        <w:t>2日志查询</w:t>
      </w:r>
    </w:p>
    <w:p>
      <w:pPr>
        <w:spacing w:line="360" w:lineRule="auto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可在线查看各个服务不同时段日志。支持关键字搜索和按条件搜索，时间范围可精确到秒。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6690" cy="2474595"/>
            <wp:effectExtent l="9525" t="9525" r="12065" b="15240"/>
            <wp:docPr id="6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1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Lines="50" w:afterLines="50" w:line="360" w:lineRule="auto"/>
        <w:rPr>
          <w:rFonts w:hint="eastAsia" w:ascii="宋体" w:hAnsi="宋体" w:eastAsia="宋体" w:cs="宋体"/>
          <w:b w:val="0"/>
          <w:bCs w:val="0"/>
          <w:sz w:val="24"/>
          <w:szCs w:val="24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6.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</w:rPr>
        <w:t>3日志设置</w:t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可设置各性能日志开关、输出频率，后续可加入其他功能相关日志输出设置。</w:t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（1）可设置日志打印状态，点击【编辑】，可设置间隔时间。</w:t>
      </w:r>
    </w:p>
    <w:p>
      <w:pPr>
        <w:spacing w:line="360" w:lineRule="auto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4785" cy="2428875"/>
            <wp:effectExtent l="9525" t="9525" r="13970" b="15240"/>
            <wp:docPr id="7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15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4288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（2）支持全选后点击【批量操作】，可设置【日志类型】、【是否开启】和【间隔时间】。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26050" cy="1506220"/>
            <wp:effectExtent l="9525" t="9525" r="22225" b="23495"/>
            <wp:docPr id="7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14"/>
                    <pic:cNvPicPr>
                      <a:picLocks noChangeAspect="1"/>
                    </pic:cNvPicPr>
                  </pic:nvPicPr>
                  <pic:blipFill>
                    <a:blip r:embed="rId48"/>
                    <a:srcRect r="772" b="39133"/>
                    <a:stretch>
                      <a:fillRect/>
                    </a:stretch>
                  </pic:blipFill>
                  <pic:spPr>
                    <a:xfrm>
                      <a:off x="0" y="0"/>
                      <a:ext cx="5226050" cy="15062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Lines="50" w:afterLines="50" w:line="360" w:lineRule="auto"/>
        <w:rPr>
          <w:rFonts w:hint="eastAsia" w:ascii="宋体" w:hAnsi="宋体" w:eastAsia="宋体" w:cs="宋体"/>
          <w:b w:val="0"/>
          <w:bCs w:val="0"/>
          <w:sz w:val="24"/>
          <w:szCs w:val="24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6.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</w:rPr>
        <w:t>4日志清理</w:t>
      </w:r>
    </w:p>
    <w:p>
      <w:pPr>
        <w:spacing w:line="360" w:lineRule="auto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客户线上环境可设置定时清理日志策略，避免长时间服务产生日志太多导致磁盘空间占满。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0340" cy="2331085"/>
            <wp:effectExtent l="9525" t="9525" r="18415" b="21590"/>
            <wp:docPr id="7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1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3310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宋体" w:hAnsi="宋体" w:eastAsia="宋体" w:cs="宋体"/>
        </w:rPr>
      </w:pPr>
    </w:p>
    <w:p>
      <w:pPr>
        <w:pStyle w:val="5"/>
        <w:spacing w:beforeLines="50" w:afterLines="50" w:line="360" w:lineRule="auto"/>
        <w:rPr>
          <w:rFonts w:hint="eastAsia" w:ascii="宋体" w:hAnsi="宋体" w:eastAsia="宋体" w:cs="宋体"/>
          <w:b w:val="0"/>
          <w:bCs w:val="0"/>
          <w:sz w:val="24"/>
          <w:szCs w:val="24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6.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</w:rPr>
        <w:t>5链路日志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为方便排查性能问题，提供服务链路日志。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274310" cy="2493645"/>
            <wp:effectExtent l="0" t="0" r="2540" b="1905"/>
            <wp:docPr id="121" name="图片 19" descr="C:\Users\Administrator\Desktop\7829b48654c16cc2b4d975d5399398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9" descr="C:\Users\Administrator\Desktop\7829b48654c16cc2b4d975d539939810.pn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4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2"/>
        </w:numPr>
        <w:bidi w:val="0"/>
        <w:ind w:left="0" w:leftChars="0" w:firstLine="0" w:firstLineChars="0"/>
        <w:rPr>
          <w:rFonts w:hint="eastAsia" w:ascii="宋体" w:hAnsi="宋体" w:eastAsia="宋体" w:cs="宋体"/>
        </w:rPr>
      </w:pPr>
      <w:bookmarkStart w:id="14" w:name="_Toc26969"/>
      <w:r>
        <w:rPr>
          <w:rFonts w:hint="eastAsia" w:ascii="宋体" w:hAnsi="宋体" w:eastAsia="宋体" w:cs="宋体"/>
          <w:sz w:val="36"/>
          <w:szCs w:val="36"/>
        </w:rPr>
        <w:t>常规体检</w:t>
      </w:r>
      <w:bookmarkEnd w:id="14"/>
    </w:p>
    <w:p>
      <w:pPr>
        <w:spacing w:line="360" w:lineRule="auto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常规体检，主要检测实时的系统运行情况。</w:t>
      </w:r>
    </w:p>
    <w:p>
      <w:pPr>
        <w:spacing w:line="360" w:lineRule="auto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点击【一键体检】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0975" cy="1878330"/>
            <wp:effectExtent l="9525" t="9525" r="17780" b="17145"/>
            <wp:docPr id="7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1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8783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检测结果如下图所示：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73040" cy="2146300"/>
            <wp:effectExtent l="9525" t="9525" r="20955" b="23495"/>
            <wp:docPr id="7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18"/>
                    <pic:cNvPicPr>
                      <a:picLocks noChangeAspect="1"/>
                    </pic:cNvPicPr>
                  </pic:nvPicPr>
                  <pic:blipFill>
                    <a:blip r:embed="rId52"/>
                    <a:srcRect b="1243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1463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2"/>
        </w:numPr>
        <w:spacing w:beforeLines="100" w:afterLines="100" w:line="360" w:lineRule="auto"/>
        <w:ind w:left="0" w:leftChars="0" w:firstLine="0" w:firstLineChars="0"/>
        <w:rPr>
          <w:rFonts w:hint="eastAsia" w:ascii="宋体" w:hAnsi="宋体" w:eastAsia="宋体" w:cs="宋体"/>
        </w:rPr>
      </w:pPr>
      <w:bookmarkStart w:id="15" w:name="_Toc1011"/>
      <w:r>
        <w:rPr>
          <w:rFonts w:hint="eastAsia" w:ascii="宋体" w:hAnsi="宋体" w:eastAsia="宋体" w:cs="宋体"/>
          <w:sz w:val="36"/>
          <w:szCs w:val="36"/>
        </w:rPr>
        <w:t>告警中心</w:t>
      </w:r>
      <w:bookmarkEnd w:id="15"/>
    </w:p>
    <w:p>
      <w:pPr>
        <w:pStyle w:val="5"/>
        <w:spacing w:beforeLines="50" w:afterLines="50" w:line="360" w:lineRule="auto"/>
        <w:rPr>
          <w:rFonts w:hint="eastAsia" w:ascii="宋体" w:hAnsi="宋体" w:eastAsia="宋体" w:cs="宋体"/>
          <w:b w:val="0"/>
          <w:bCs w:val="0"/>
          <w:sz w:val="24"/>
          <w:szCs w:val="24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8.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</w:rPr>
        <w:t>1告警事件</w:t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可查看业务服务和服务器的历史告警信息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6690" cy="2474595"/>
            <wp:effectExtent l="9525" t="9525" r="12065" b="15240"/>
            <wp:docPr id="7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20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9230" cy="1871345"/>
            <wp:effectExtent l="9525" t="9525" r="9525" b="24130"/>
            <wp:docPr id="7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21"/>
                    <pic:cNvPicPr>
                      <a:picLocks noChangeAspect="1"/>
                    </pic:cNvPicPr>
                  </pic:nvPicPr>
                  <pic:blipFill>
                    <a:blip r:embed="rId54"/>
                    <a:srcRect b="2548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8713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Lines="50" w:afterLines="50" w:line="360" w:lineRule="auto"/>
        <w:rPr>
          <w:rFonts w:hint="eastAsia" w:ascii="宋体" w:hAnsi="宋体" w:eastAsia="宋体" w:cs="宋体"/>
          <w:b w:val="0"/>
          <w:bCs w:val="0"/>
          <w:sz w:val="24"/>
          <w:szCs w:val="24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8.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</w:rPr>
        <w:t>2告警规则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6690" cy="2093595"/>
            <wp:effectExtent l="9525" t="9525" r="12065" b="15240"/>
            <wp:docPr id="79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22"/>
                    <pic:cNvPicPr>
                      <a:picLocks noChangeAspect="1"/>
                    </pic:cNvPicPr>
                  </pic:nvPicPr>
                  <pic:blipFill>
                    <a:blip r:embed="rId55"/>
                    <a:srcRect b="1539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935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（1）设计了可配置数据入口，即可通过添加数据源的方式，增加自定义的告警项。数据源可配置数据库、elasticsearch、redis等，也可配置java代码形式获取数据。设计灵活，后续不只仅限于监控数据，还可以支持业务数据的告警，扩展性很强。</w:t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点击【新增】，可设置告警名称、是否启用、告警方式等以及高危、中危和低危的告警阈值和告警频率，保存后即生成新的告警规则。</w:t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9865" cy="4438650"/>
            <wp:effectExtent l="0" t="0" r="3175" b="11430"/>
            <wp:docPr id="80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23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（2）数据通过数据源进入运维平台后，会根据配置的告警阈值判断是否触发告警，以及根据配置的告警频率判断推送告警消息的频率。</w:t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（3）准备好发送消息后，告警方式方面，也提供了可配置的消息出口，可以灵活对接第三方消息平台，如短信平台、邮件平台等。</w:t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点击【绑定】,扫描二维码关注泛微服务微信接收运维平台预警信息,已关注的粉丝会显示在下方列表。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4785" cy="2284095"/>
            <wp:effectExtent l="9525" t="9525" r="13970" b="22860"/>
            <wp:docPr id="8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25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2840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2"/>
        </w:numPr>
        <w:spacing w:beforeLines="100" w:afterLines="100" w:line="360" w:lineRule="auto"/>
        <w:ind w:left="0" w:leftChars="0" w:firstLine="0" w:firstLineChars="0"/>
        <w:rPr>
          <w:rFonts w:hint="eastAsia" w:ascii="宋体" w:hAnsi="宋体" w:eastAsia="宋体" w:cs="宋体"/>
          <w:sz w:val="36"/>
          <w:szCs w:val="36"/>
        </w:rPr>
      </w:pPr>
      <w:bookmarkStart w:id="16" w:name="_Toc10441"/>
      <w:r>
        <w:rPr>
          <w:rFonts w:hint="eastAsia" w:ascii="宋体" w:hAnsi="宋体" w:eastAsia="宋体" w:cs="宋体"/>
          <w:sz w:val="36"/>
          <w:szCs w:val="36"/>
        </w:rPr>
        <w:t>资源中心</w:t>
      </w:r>
      <w:bookmarkEnd w:id="16"/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主要功能包括展示服务/服务器部署情况，并提供相关安装及升级支持。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注：具体安装步骤请参考《E10安装文档Vxx.docx》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具体升级步骤请参考《E10升级文档Vxx.docx》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具体页面如下：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274310" cy="2416175"/>
            <wp:effectExtent l="19050" t="0" r="2540" b="0"/>
            <wp:docPr id="37" name="图片 10" descr="C:\Users\Administrator\Downloads\7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0" descr="C:\Users\Administrator\Downloads\777.png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6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上图：资源中心页面效果</w:t>
      </w:r>
    </w:p>
    <w:p>
      <w:pPr>
        <w:spacing w:line="360" w:lineRule="auto"/>
        <w:rPr>
          <w:rFonts w:hint="eastAsia" w:ascii="宋体" w:hAnsi="宋体" w:eastAsia="宋体" w:cs="宋体"/>
        </w:rPr>
      </w:pPr>
    </w:p>
    <w:p>
      <w:pPr>
        <w:spacing w:line="360" w:lineRule="auto"/>
        <w:rPr>
          <w:rFonts w:hint="eastAsia" w:ascii="宋体" w:hAnsi="宋体" w:eastAsia="宋体" w:cs="宋体"/>
        </w:rPr>
      </w:pP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274310" cy="2429510"/>
            <wp:effectExtent l="19050" t="0" r="2540" b="0"/>
            <wp:docPr id="107" name="图片 11" descr="C:\Users\Administrator\Desktop\dbb5fb7de31ad915480297e4d9f2cdc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1" descr="C:\Users\Administrator\Desktop\dbb5fb7de31ad915480297e4d9f2cdcd.pn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0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上图：安装相关功能支持</w:t>
      </w:r>
    </w:p>
    <w:p>
      <w:pPr>
        <w:spacing w:line="360" w:lineRule="auto"/>
        <w:jc w:val="center"/>
        <w:rPr>
          <w:rFonts w:hint="eastAsia" w:ascii="宋体" w:hAnsi="宋体" w:eastAsia="宋体" w:cs="宋体"/>
        </w:rPr>
      </w:pPr>
    </w:p>
    <w:p>
      <w:pPr>
        <w:spacing w:line="360" w:lineRule="auto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274310" cy="2448560"/>
            <wp:effectExtent l="19050" t="0" r="2540" b="0"/>
            <wp:docPr id="110" name="图片 12" descr="C:\Users\Administrator\Desktop\136211f195f9a76beac01377e87a0f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2" descr="C:\Users\Administrator\Desktop\136211f195f9a76beac01377e87a0f75.png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87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上图：服务升级、迁移相关功能支持</w:t>
      </w:r>
    </w:p>
    <w:p>
      <w:pPr>
        <w:spacing w:line="360" w:lineRule="auto"/>
        <w:jc w:val="center"/>
        <w:rPr>
          <w:rFonts w:hint="eastAsia" w:ascii="宋体" w:hAnsi="宋体" w:eastAsia="宋体" w:cs="宋体"/>
        </w:rPr>
      </w:pPr>
    </w:p>
    <w:p>
      <w:pPr>
        <w:pStyle w:val="3"/>
        <w:numPr>
          <w:ilvl w:val="0"/>
          <w:numId w:val="2"/>
        </w:numPr>
        <w:spacing w:beforeLines="100" w:afterLines="100" w:line="360" w:lineRule="auto"/>
        <w:ind w:left="0" w:leftChars="0" w:firstLine="0" w:firstLineChars="0"/>
        <w:rPr>
          <w:rFonts w:hint="eastAsia" w:ascii="宋体" w:hAnsi="宋体" w:eastAsia="宋体" w:cs="宋体"/>
          <w:sz w:val="36"/>
          <w:szCs w:val="36"/>
        </w:rPr>
      </w:pPr>
      <w:bookmarkStart w:id="17" w:name="_Toc12362"/>
      <w:r>
        <w:rPr>
          <w:rFonts w:hint="eastAsia" w:ascii="宋体" w:hAnsi="宋体" w:eastAsia="宋体" w:cs="宋体"/>
          <w:sz w:val="36"/>
          <w:szCs w:val="36"/>
        </w:rPr>
        <w:t>升级中心</w:t>
      </w:r>
      <w:bookmarkEnd w:id="17"/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提供升级相关的辅助工具（后续升级入口也将移入升级中心，目前在资源中心），包括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服务版本：展示所有服务的具体版本信息；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导出版本：升级操作前的必要步骤；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历史升级：查看历次所有升级详情；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备份文件列表：查看备份文件列表。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274310" cy="2125345"/>
            <wp:effectExtent l="19050" t="0" r="2540" b="0"/>
            <wp:docPr id="115" name="图片 13" descr="C:\Users\Administrator\Downloads\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3" descr="C:\Users\Administrator\Downloads\102.png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25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2"/>
        </w:numPr>
        <w:spacing w:beforeLines="100" w:afterLines="100" w:line="360" w:lineRule="auto"/>
        <w:ind w:left="0" w:leftChars="0" w:firstLine="0" w:firstLineChars="0"/>
        <w:rPr>
          <w:rFonts w:hint="eastAsia" w:ascii="宋体" w:hAnsi="宋体" w:eastAsia="宋体" w:cs="宋体"/>
          <w:sz w:val="36"/>
          <w:szCs w:val="36"/>
        </w:rPr>
      </w:pPr>
      <w:bookmarkStart w:id="18" w:name="_Toc31726"/>
      <w:r>
        <w:rPr>
          <w:rFonts w:hint="eastAsia" w:ascii="宋体" w:hAnsi="宋体" w:eastAsia="宋体" w:cs="宋体"/>
          <w:sz w:val="36"/>
          <w:szCs w:val="36"/>
        </w:rPr>
        <w:t>文件管理</w:t>
      </w:r>
      <w:bookmarkEnd w:id="18"/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目前提供环境中所有文件变动的详情列表。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274310" cy="2025015"/>
            <wp:effectExtent l="19050" t="0" r="2540" b="0"/>
            <wp:docPr id="116" name="图片 14" descr="C:\Users\Administrator\Desktop\a297bc01ed7ef8bf854addf576c65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4" descr="C:\Users\Administrator\Desktop\a297bc01ed7ef8bf854addf576c65d.png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25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2"/>
        </w:numPr>
        <w:spacing w:beforeLines="100" w:afterLines="100" w:line="360" w:lineRule="auto"/>
        <w:ind w:left="0" w:leftChars="0" w:firstLine="0" w:firstLineChars="0"/>
        <w:rPr>
          <w:rFonts w:hint="eastAsia" w:ascii="宋体" w:hAnsi="宋体" w:eastAsia="宋体" w:cs="宋体"/>
          <w:sz w:val="36"/>
          <w:szCs w:val="36"/>
        </w:rPr>
      </w:pPr>
      <w:bookmarkStart w:id="19" w:name="_Toc26111"/>
      <w:r>
        <w:rPr>
          <w:rFonts w:hint="eastAsia" w:ascii="宋体" w:hAnsi="宋体" w:eastAsia="宋体" w:cs="宋体"/>
          <w:sz w:val="36"/>
          <w:szCs w:val="36"/>
        </w:rPr>
        <w:t>百宝箱</w:t>
      </w:r>
      <w:bookmarkEnd w:id="19"/>
    </w:p>
    <w:p>
      <w:pPr>
        <w:pStyle w:val="5"/>
        <w:spacing w:beforeLines="50" w:afterLines="50" w:line="360" w:lineRule="auto"/>
        <w:rPr>
          <w:rFonts w:hint="eastAsia" w:ascii="宋体" w:hAnsi="宋体" w:eastAsia="宋体" w:cs="宋体"/>
          <w:b w:val="0"/>
          <w:bCs w:val="0"/>
          <w:sz w:val="24"/>
          <w:szCs w:val="24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12.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</w:rPr>
        <w:t>1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</w:rPr>
        <w:t>license</w:t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包括license授权详情展示及license上传</w:t>
      </w:r>
    </w:p>
    <w:p>
      <w:pPr>
        <w:spacing w:line="360" w:lineRule="auto"/>
        <w:rPr>
          <w:rFonts w:hint="eastAsia" w:ascii="宋体" w:hAnsi="宋体" w:eastAsia="宋体" w:cs="宋体"/>
          <w:sz w:val="24"/>
        </w:rPr>
      </w:pPr>
    </w:p>
    <w:p>
      <w:pPr>
        <w:spacing w:line="360" w:lineRule="auto"/>
        <w:rPr>
          <w:rFonts w:hint="eastAsia" w:ascii="宋体" w:hAnsi="宋体" w:eastAsia="宋体" w:cs="宋体"/>
          <w:b w:val="0"/>
          <w:bCs w:val="0"/>
          <w:sz w:val="24"/>
          <w:szCs w:val="24"/>
        </w:rPr>
      </w:pPr>
      <w:r>
        <w:rPr>
          <w:rFonts w:hint="eastAsia" w:ascii="宋体" w:hAnsi="宋体" w:eastAsia="宋体" w:cs="宋体"/>
          <w:sz w:val="24"/>
        </w:rPr>
        <w:drawing>
          <wp:inline distT="0" distB="0" distL="0" distR="0">
            <wp:extent cx="5274310" cy="2426970"/>
            <wp:effectExtent l="19050" t="0" r="2540" b="0"/>
            <wp:docPr id="119" name="图片 17" descr="C:\Users\Administrator\Downloads\12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7" descr="C:\Users\Administrator\Downloads\1254.png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7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lang w:val="en-US" w:eastAsia="zh-CN"/>
        </w:rPr>
        <w:t>12.2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</w:rPr>
        <w:t>线上排查</w:t>
      </w:r>
    </w:p>
    <w:p>
      <w:pPr>
        <w:spacing w:line="360" w:lineRule="auto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提供方便开发人员排查问题的线上排查工具。具体包括：方法调试、配置查询和性能监控。</w:t>
      </w:r>
    </w:p>
    <w:p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drawing>
          <wp:inline distT="0" distB="0" distL="0" distR="0">
            <wp:extent cx="5274310" cy="2416810"/>
            <wp:effectExtent l="19050" t="0" r="2540" b="0"/>
            <wp:docPr id="120" name="图片 18" descr="C:\Users\Administrator\Desktop\19390681fba8b8d0b9e18cabecfc601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8" descr="C:\Users\Administrator\Desktop\19390681fba8b8d0b9e18cabecfc601b.png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7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Lines="50" w:afterLines="50" w:line="360" w:lineRule="auto"/>
        <w:rPr>
          <w:rFonts w:hint="eastAsia" w:ascii="宋体" w:hAnsi="宋体" w:eastAsia="宋体" w:cs="宋体"/>
          <w:b w:val="0"/>
          <w:bCs w:val="0"/>
          <w:sz w:val="24"/>
          <w:szCs w:val="24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12.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</w:rPr>
        <w:t>3定时重启</w:t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可对每个e10服务设置对应的定时重启机制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70500" cy="1697355"/>
            <wp:effectExtent l="9525" t="9525" r="23495" b="15240"/>
            <wp:docPr id="92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34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6973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点击【新增】，选择所需要的服务，设置日期和时间以及其他条件后保存即可。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72405" cy="2802255"/>
            <wp:effectExtent l="9525" t="9525" r="21590" b="22860"/>
            <wp:docPr id="93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35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022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5"/>
        <w:spacing w:beforeLines="50" w:afterLines="50" w:line="360" w:lineRule="auto"/>
        <w:rPr>
          <w:rFonts w:hint="eastAsia" w:ascii="宋体" w:hAnsi="宋体" w:eastAsia="宋体" w:cs="宋体"/>
          <w:b w:val="0"/>
          <w:bCs w:val="0"/>
          <w:sz w:val="24"/>
          <w:szCs w:val="24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12.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</w:rPr>
        <w:t>4内存dump</w:t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性能排查工具，快速收集获取内存dump快照。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4785" cy="1834515"/>
            <wp:effectExtent l="9525" t="9525" r="13970" b="15240"/>
            <wp:docPr id="94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36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8345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2"/>
        </w:numPr>
        <w:spacing w:beforeLines="100" w:afterLines="100" w:line="360" w:lineRule="auto"/>
        <w:ind w:left="0" w:leftChars="0" w:firstLine="0" w:firstLineChars="0"/>
        <w:rPr>
          <w:rFonts w:hint="eastAsia" w:ascii="宋体" w:hAnsi="宋体" w:eastAsia="宋体" w:cs="宋体"/>
          <w:sz w:val="36"/>
          <w:szCs w:val="36"/>
        </w:rPr>
      </w:pPr>
      <w:bookmarkStart w:id="20" w:name="_Toc9857"/>
      <w:r>
        <w:rPr>
          <w:rFonts w:hint="eastAsia" w:ascii="宋体" w:hAnsi="宋体" w:eastAsia="宋体" w:cs="宋体"/>
          <w:sz w:val="36"/>
          <w:szCs w:val="36"/>
        </w:rPr>
        <w:t>系统</w:t>
      </w:r>
      <w:bookmarkEnd w:id="20"/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左下角“系统”功能，是对运维平台本身的相关管理或设置（而非被监控的服务）。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主要包括主节点管理、代理服务管理、运维日志下载、系统设置。</w:t>
      </w: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274310" cy="2437765"/>
            <wp:effectExtent l="19050" t="0" r="2540" b="0"/>
            <wp:docPr id="124" name="图片 24" descr="C:\Users\Administrator\Downloads\0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24" descr="C:\Users\Administrator\Downloads\049.png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7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宋体" w:hAnsi="宋体" w:eastAsia="宋体" w:cs="宋体"/>
        </w:rPr>
      </w:pP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274310" cy="2419985"/>
            <wp:effectExtent l="19050" t="0" r="2540" b="0"/>
            <wp:docPr id="125" name="图片 25" descr="C:\Users\Administrator\Downloads\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25" descr="C:\Users\Administrator\Downloads\105.png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0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2"/>
        </w:numPr>
        <w:spacing w:beforeLines="100" w:afterLines="100" w:line="360" w:lineRule="auto"/>
        <w:ind w:left="0" w:leftChars="0" w:firstLine="0" w:firstLineChars="0"/>
        <w:rPr>
          <w:rFonts w:hint="eastAsia" w:ascii="宋体" w:hAnsi="宋体" w:eastAsia="宋体" w:cs="宋体"/>
          <w:sz w:val="36"/>
          <w:szCs w:val="36"/>
        </w:rPr>
      </w:pPr>
      <w:bookmarkStart w:id="21" w:name="_Toc30664"/>
      <w:r>
        <w:rPr>
          <w:rFonts w:hint="eastAsia" w:ascii="宋体" w:hAnsi="宋体" w:eastAsia="宋体" w:cs="宋体"/>
          <w:sz w:val="36"/>
          <w:szCs w:val="36"/>
        </w:rPr>
        <w:t>版本</w:t>
      </w:r>
      <w:bookmarkEnd w:id="21"/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运维平台自身历史升级情况展示，并提供运维平台自身版本升级能力。</w:t>
      </w:r>
    </w:p>
    <w:p>
      <w:pPr>
        <w:spacing w:line="360" w:lineRule="auto"/>
        <w:rPr>
          <w:rFonts w:hint="eastAsia" w:ascii="宋体" w:hAnsi="宋体" w:eastAsia="宋体" w:cs="宋体"/>
        </w:rPr>
      </w:pPr>
    </w:p>
    <w:p>
      <w:pPr>
        <w:spacing w:line="36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5274310" cy="2614930"/>
            <wp:effectExtent l="19050" t="0" r="2540" b="0"/>
            <wp:docPr id="123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21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5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A537DC2"/>
    <w:multiLevelType w:val="multilevel"/>
    <w:tmpl w:val="2A537DC2"/>
    <w:lvl w:ilvl="0" w:tentative="0">
      <w:start w:val="1"/>
      <w:numFmt w:val="decimal"/>
      <w:suff w:val="space"/>
      <w:lvlText w:val="%1."/>
      <w:lvlJc w:val="left"/>
    </w:lvl>
    <w:lvl w:ilvl="1" w:tentative="0">
      <w:start w:val="1"/>
      <w:numFmt w:val="decimal"/>
      <w:lvlText w:val="(%2)"/>
      <w:lvlJc w:val="left"/>
      <w:pPr>
        <w:tabs>
          <w:tab w:val="left" w:pos="840"/>
        </w:tabs>
        <w:ind w:left="840" w:leftChars="0" w:hanging="420" w:firstLineChars="0"/>
      </w:pPr>
      <w:rPr>
        <w:rFonts w:hint="default"/>
      </w:rPr>
    </w:lvl>
    <w:lvl w:ilvl="2" w:tentative="0">
      <w:start w:val="1"/>
      <w:numFmt w:val="decimalEnclosedCircleChinese"/>
      <w:lvlText w:val="%3"/>
      <w:lvlJc w:val="left"/>
      <w:pPr>
        <w:tabs>
          <w:tab w:val="left" w:pos="1260"/>
        </w:tabs>
        <w:ind w:left="1260" w:leftChars="0" w:hanging="420" w:firstLineChars="0"/>
      </w:pPr>
      <w:rPr>
        <w:rFonts w:hint="default"/>
      </w:rPr>
    </w:lvl>
    <w:lvl w:ilvl="3" w:tentative="0">
      <w:start w:val="1"/>
      <w:numFmt w:val="decimal"/>
      <w:lvlText w:val="%4)"/>
      <w:lvlJc w:val="left"/>
      <w:pPr>
        <w:tabs>
          <w:tab w:val="left" w:pos="1680"/>
        </w:tabs>
        <w:ind w:left="1680" w:leftChars="0" w:hanging="420" w:firstLineChars="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tabs>
          <w:tab w:val="left" w:pos="2100"/>
        </w:tabs>
        <w:ind w:left="2100" w:leftChars="0" w:hanging="420" w:firstLineChars="0"/>
      </w:pPr>
      <w:rPr>
        <w:rFonts w:hint="default"/>
      </w:rPr>
    </w:lvl>
    <w:lvl w:ilvl="5" w:tentative="0">
      <w:start w:val="1"/>
      <w:numFmt w:val="lowerLetter"/>
      <w:lvlText w:val="%6)"/>
      <w:lvlJc w:val="left"/>
      <w:pPr>
        <w:tabs>
          <w:tab w:val="left" w:pos="2520"/>
        </w:tabs>
        <w:ind w:left="2520" w:leftChars="0" w:hanging="420" w:firstLineChars="0"/>
      </w:pPr>
      <w:rPr>
        <w:rFonts w:hint="default"/>
      </w:rPr>
    </w:lvl>
    <w:lvl w:ilvl="6" w:tentative="0">
      <w:start w:val="1"/>
      <w:numFmt w:val="lowerRoman"/>
      <w:lvlText w:val="%7."/>
      <w:lvlJc w:val="left"/>
      <w:pPr>
        <w:tabs>
          <w:tab w:val="left" w:pos="2940"/>
        </w:tabs>
        <w:ind w:left="2940" w:leftChars="0" w:hanging="420" w:firstLineChars="0"/>
      </w:pPr>
      <w:rPr>
        <w:rFonts w:hint="default"/>
      </w:rPr>
    </w:lvl>
    <w:lvl w:ilvl="7" w:tentative="0">
      <w:start w:val="1"/>
      <w:numFmt w:val="lowerRoman"/>
      <w:lvlText w:val="%8)"/>
      <w:lvlJc w:val="left"/>
      <w:pPr>
        <w:tabs>
          <w:tab w:val="left" w:pos="3360"/>
        </w:tabs>
        <w:ind w:left="3360" w:leftChars="0" w:hanging="420" w:firstLineChars="0"/>
      </w:pPr>
      <w:rPr>
        <w:rFonts w:hint="default"/>
      </w:rPr>
    </w:lvl>
    <w:lvl w:ilvl="8" w:tentative="0">
      <w:start w:val="1"/>
      <w:numFmt w:val="lowerLetter"/>
      <w:lvlText w:val="%9."/>
      <w:lvlJc w:val="left"/>
      <w:pPr>
        <w:tabs>
          <w:tab w:val="left" w:pos="3780"/>
        </w:tabs>
        <w:ind w:left="3780" w:leftChars="0" w:hanging="420" w:firstLineChars="0"/>
      </w:pPr>
      <w:rPr>
        <w:rFonts w:hint="default"/>
      </w:rPr>
    </w:lvl>
  </w:abstractNum>
  <w:abstractNum w:abstractNumId="1">
    <w:nsid w:val="37A19707"/>
    <w:multiLevelType w:val="multilevel"/>
    <w:tmpl w:val="37A19707"/>
    <w:lvl w:ilvl="0" w:tentative="0">
      <w:start w:val="2"/>
      <w:numFmt w:val="decimal"/>
      <w:suff w:val="space"/>
      <w:lvlText w:val="%1."/>
      <w:lvlJc w:val="left"/>
    </w:lvl>
    <w:lvl w:ilvl="1" w:tentative="0">
      <w:start w:val="1"/>
      <w:numFmt w:val="decimal"/>
      <w:suff w:val="space"/>
      <w:lvlText w:val="%1.%2"/>
      <w:lvlJc w:val="left"/>
      <w:pPr>
        <w:ind w:left="0" w:leftChars="0" w:firstLine="0" w:firstLineChars="0"/>
      </w:pPr>
      <w:rPr>
        <w:rFonts w:hint="default"/>
      </w:rPr>
    </w:lvl>
    <w:lvl w:ilvl="2" w:tentative="0">
      <w:start w:val="1"/>
      <w:numFmt w:val="decimal"/>
      <w:suff w:val="space"/>
      <w:lvlText w:val="%1.%2.%3"/>
      <w:lvlJc w:val="left"/>
      <w:pPr>
        <w:ind w:left="0" w:leftChars="0" w:firstLine="0" w:firstLineChars="0"/>
      </w:pPr>
      <w:rPr>
        <w:rFonts w:hint="default"/>
      </w:rPr>
    </w:lvl>
    <w:lvl w:ilvl="3" w:tentative="0">
      <w:start w:val="1"/>
      <w:numFmt w:val="decimal"/>
      <w:suff w:val="space"/>
      <w:lvlText w:val="%1.%2.%3.%4"/>
      <w:lvlJc w:val="left"/>
      <w:pPr>
        <w:ind w:left="0" w:leftChars="0" w:firstLine="0" w:firstLineChars="0"/>
      </w:pPr>
      <w:rPr>
        <w:rFonts w:hint="default"/>
      </w:rPr>
    </w:lvl>
    <w:lvl w:ilvl="4" w:tentative="0">
      <w:start w:val="1"/>
      <w:numFmt w:val="decimal"/>
      <w:suff w:val="space"/>
      <w:lvlText w:val="%1.%2.%3.%4.%5"/>
      <w:lvlJc w:val="left"/>
      <w:pPr>
        <w:ind w:left="0" w:leftChars="0" w:firstLine="0" w:firstLineChars="0"/>
      </w:pPr>
      <w:rPr>
        <w:rFonts w:hint="default"/>
      </w:rPr>
    </w:lvl>
    <w:lvl w:ilvl="5" w:tentative="0">
      <w:start w:val="1"/>
      <w:numFmt w:val="decimal"/>
      <w:suff w:val="space"/>
      <w:lvlText w:val="%1.%2.%3.%4.%5.%6"/>
      <w:lvlJc w:val="left"/>
      <w:pPr>
        <w:ind w:left="0" w:leftChars="0" w:firstLine="0" w:firstLineChars="0"/>
      </w:pPr>
      <w:rPr>
        <w:rFonts w:hint="default"/>
      </w:rPr>
    </w:lvl>
    <w:lvl w:ilvl="6" w:tentative="0">
      <w:start w:val="1"/>
      <w:numFmt w:val="decimal"/>
      <w:suff w:val="space"/>
      <w:lvlText w:val="%1.%2.%3.%4.%5.%6.%7"/>
      <w:lvlJc w:val="left"/>
      <w:pPr>
        <w:ind w:left="0" w:leftChars="0" w:firstLine="0" w:firstLineChars="0"/>
      </w:pPr>
      <w:rPr>
        <w:rFonts w:hint="default"/>
      </w:rPr>
    </w:lvl>
    <w:lvl w:ilvl="7" w:tentative="0">
      <w:start w:val="1"/>
      <w:numFmt w:val="decimal"/>
      <w:suff w:val="space"/>
      <w:lvlText w:val="%1.%2.%3.%4.%5.%6.%7.%8"/>
      <w:lvlJc w:val="left"/>
      <w:pPr>
        <w:ind w:left="0" w:leftChars="0" w:firstLine="0" w:firstLineChars="0"/>
      </w:pPr>
      <w:rPr>
        <w:rFonts w:hint="default"/>
      </w:rPr>
    </w:lvl>
    <w:lvl w:ilvl="8" w:tentative="0">
      <w:start w:val="1"/>
      <w:numFmt w:val="decimal"/>
      <w:suff w:val="space"/>
      <w:lvlText w:val="%1.%2.%3.%4.%5.%6.%7.%8.%9"/>
      <w:lvlJc w:val="left"/>
      <w:pPr>
        <w:ind w:left="0" w:leftChars="0" w:firstLine="0" w:firstLineChars="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2"/>
  </w:compat>
  <w:docVars>
    <w:docVar w:name="commondata" w:val="eyJoZGlkIjoiZmUxNmRmZmI5NjE1MTlhNmVjOGNkZWRhZmVkZDRkZmMifQ=="/>
  </w:docVars>
  <w:rsids>
    <w:rsidRoot w:val="2C994E0F"/>
    <w:rsid w:val="000A52D4"/>
    <w:rsid w:val="00100E8F"/>
    <w:rsid w:val="00170074"/>
    <w:rsid w:val="001B6F86"/>
    <w:rsid w:val="00381875"/>
    <w:rsid w:val="00623DCD"/>
    <w:rsid w:val="00642351"/>
    <w:rsid w:val="00772BD5"/>
    <w:rsid w:val="007B4E95"/>
    <w:rsid w:val="008D31B2"/>
    <w:rsid w:val="00973B7F"/>
    <w:rsid w:val="00990BDF"/>
    <w:rsid w:val="00AD019F"/>
    <w:rsid w:val="00B74E27"/>
    <w:rsid w:val="00C5091C"/>
    <w:rsid w:val="00D43E33"/>
    <w:rsid w:val="00DA6DAF"/>
    <w:rsid w:val="00DE1EEA"/>
    <w:rsid w:val="00F03CCE"/>
    <w:rsid w:val="07DE427B"/>
    <w:rsid w:val="08C43471"/>
    <w:rsid w:val="09305F2E"/>
    <w:rsid w:val="0AD76CA2"/>
    <w:rsid w:val="0B962CDA"/>
    <w:rsid w:val="0C442FE8"/>
    <w:rsid w:val="0D43731A"/>
    <w:rsid w:val="0E6903CA"/>
    <w:rsid w:val="0FF5749A"/>
    <w:rsid w:val="139E5767"/>
    <w:rsid w:val="146C5C55"/>
    <w:rsid w:val="16B10A57"/>
    <w:rsid w:val="17CC0594"/>
    <w:rsid w:val="1A7016AA"/>
    <w:rsid w:val="1B18764C"/>
    <w:rsid w:val="1C4921B3"/>
    <w:rsid w:val="1F3F730B"/>
    <w:rsid w:val="20164AE8"/>
    <w:rsid w:val="24E422B9"/>
    <w:rsid w:val="2C994E0F"/>
    <w:rsid w:val="33DC5263"/>
    <w:rsid w:val="34A67003"/>
    <w:rsid w:val="34CD6267"/>
    <w:rsid w:val="37D810B0"/>
    <w:rsid w:val="38A04AB1"/>
    <w:rsid w:val="38F44DFD"/>
    <w:rsid w:val="3948585D"/>
    <w:rsid w:val="39A11398"/>
    <w:rsid w:val="3C326368"/>
    <w:rsid w:val="416209C5"/>
    <w:rsid w:val="42772D26"/>
    <w:rsid w:val="42A804CE"/>
    <w:rsid w:val="451669EA"/>
    <w:rsid w:val="46144D30"/>
    <w:rsid w:val="47C3237E"/>
    <w:rsid w:val="47D66712"/>
    <w:rsid w:val="49075444"/>
    <w:rsid w:val="4A841F96"/>
    <w:rsid w:val="4AF87556"/>
    <w:rsid w:val="4B8B339F"/>
    <w:rsid w:val="4BE40D01"/>
    <w:rsid w:val="52A66D10"/>
    <w:rsid w:val="530850B3"/>
    <w:rsid w:val="53862079"/>
    <w:rsid w:val="554463AF"/>
    <w:rsid w:val="56D3714A"/>
    <w:rsid w:val="59E763A3"/>
    <w:rsid w:val="5A102F20"/>
    <w:rsid w:val="5A465EA7"/>
    <w:rsid w:val="5AFC5F8F"/>
    <w:rsid w:val="5F3A513B"/>
    <w:rsid w:val="611C435E"/>
    <w:rsid w:val="618E51D9"/>
    <w:rsid w:val="62F56D26"/>
    <w:rsid w:val="6415662F"/>
    <w:rsid w:val="65E031F3"/>
    <w:rsid w:val="68F8384E"/>
    <w:rsid w:val="69CD0CF9"/>
    <w:rsid w:val="6AE76BE9"/>
    <w:rsid w:val="6C2052A3"/>
    <w:rsid w:val="6C9C04C6"/>
    <w:rsid w:val="6CCD4BDE"/>
    <w:rsid w:val="6D610768"/>
    <w:rsid w:val="6DD24A05"/>
    <w:rsid w:val="6EE906BC"/>
    <w:rsid w:val="6F536DE3"/>
    <w:rsid w:val="709F1517"/>
    <w:rsid w:val="735E5184"/>
    <w:rsid w:val="74DD616A"/>
    <w:rsid w:val="759C7DD3"/>
    <w:rsid w:val="76A40D13"/>
    <w:rsid w:val="7A9E5FB6"/>
    <w:rsid w:val="7C1C76BD"/>
    <w:rsid w:val="7D343598"/>
    <w:rsid w:val="7E8F2BCB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0" w:semiHidden="0" w:name="heading 2"/>
    <w:lsdException w:qFormat="1" w:uiPriority="9" w:semiHidden="0" w:name="heading 3"/>
    <w:lsdException w:qFormat="1" w:uiPriority="9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1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qFormat="1" w:uiPriority="99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qFormat="1" w:unhideWhenUsed="0" w:uiPriority="39" w:semiHidden="0" w:name="Table Grid"/>
    <w:lsdException w:unhideWhenUsed="0" w:uiPriority="0" w:semiHidden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20"/>
    <w:autoRedefine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autoRedefine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autoRedefine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18"/>
    <w:autoRedefine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15">
    <w:name w:val="Default Paragraph Font"/>
    <w:autoRedefine/>
    <w:semiHidden/>
    <w:unhideWhenUsed/>
    <w:qFormat/>
    <w:uiPriority w:val="1"/>
  </w:style>
  <w:style w:type="table" w:default="1" w:styleId="13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oc 3"/>
    <w:basedOn w:val="1"/>
    <w:next w:val="1"/>
    <w:autoRedefine/>
    <w:qFormat/>
    <w:uiPriority w:val="0"/>
    <w:pPr>
      <w:ind w:left="840" w:leftChars="400"/>
    </w:pPr>
  </w:style>
  <w:style w:type="paragraph" w:styleId="7">
    <w:name w:val="Balloon Text"/>
    <w:basedOn w:val="1"/>
    <w:link w:val="22"/>
    <w:autoRedefine/>
    <w:qFormat/>
    <w:uiPriority w:val="0"/>
    <w:rPr>
      <w:sz w:val="18"/>
      <w:szCs w:val="18"/>
    </w:rPr>
  </w:style>
  <w:style w:type="paragraph" w:styleId="8">
    <w:name w:val="footer"/>
    <w:basedOn w:val="1"/>
    <w:link w:val="24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23"/>
    <w:autoRedefine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1"/>
    <w:next w:val="1"/>
    <w:autoRedefine/>
    <w:qFormat/>
    <w:uiPriority w:val="0"/>
  </w:style>
  <w:style w:type="paragraph" w:styleId="11">
    <w:name w:val="toc 2"/>
    <w:basedOn w:val="1"/>
    <w:next w:val="1"/>
    <w:autoRedefine/>
    <w:qFormat/>
    <w:uiPriority w:val="0"/>
    <w:pPr>
      <w:ind w:left="420" w:leftChars="200"/>
    </w:pPr>
  </w:style>
  <w:style w:type="paragraph" w:styleId="12">
    <w:name w:val="Title"/>
    <w:basedOn w:val="1"/>
    <w:next w:val="1"/>
    <w:autoRedefine/>
    <w:qFormat/>
    <w:uiPriority w:val="10"/>
    <w:pPr>
      <w:spacing w:before="240" w:after="60"/>
      <w:jc w:val="center"/>
      <w:outlineLvl w:val="0"/>
    </w:pPr>
    <w:rPr>
      <w:rFonts w:asciiTheme="majorHAnsi" w:hAnsiTheme="majorHAnsi" w:eastAsiaTheme="majorEastAsia" w:cstheme="majorBidi"/>
      <w:b/>
      <w:bCs/>
      <w:sz w:val="32"/>
      <w:szCs w:val="32"/>
    </w:rPr>
  </w:style>
  <w:style w:type="table" w:styleId="14">
    <w:name w:val="Table Grid"/>
    <w:basedOn w:val="13"/>
    <w:autoRedefine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6">
    <w:name w:val="FollowedHyperlink"/>
    <w:basedOn w:val="15"/>
    <w:autoRedefine/>
    <w:semiHidden/>
    <w:unhideWhenUsed/>
    <w:qFormat/>
    <w:uiPriority w:val="99"/>
    <w:rPr>
      <w:color w:val="800080"/>
      <w:u w:val="single"/>
    </w:rPr>
  </w:style>
  <w:style w:type="character" w:styleId="17">
    <w:name w:val="Hyperlink"/>
    <w:basedOn w:val="15"/>
    <w:autoRedefine/>
    <w:unhideWhenUsed/>
    <w:qFormat/>
    <w:uiPriority w:val="99"/>
    <w:rPr>
      <w:color w:val="0563C1" w:themeColor="hyperlink"/>
      <w:u w:val="single"/>
    </w:rPr>
  </w:style>
  <w:style w:type="character" w:customStyle="1" w:styleId="18">
    <w:name w:val="标题 4 Char"/>
    <w:basedOn w:val="15"/>
    <w:link w:val="5"/>
    <w:autoRedefine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19">
    <w:name w:val="No Spacing"/>
    <w:autoRedefine/>
    <w:qFormat/>
    <w:uiPriority w:val="1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customStyle="1" w:styleId="20">
    <w:name w:val="标题 1 Char"/>
    <w:basedOn w:val="15"/>
    <w:link w:val="2"/>
    <w:autoRedefine/>
    <w:qFormat/>
    <w:uiPriority w:val="9"/>
    <w:rPr>
      <w:b/>
      <w:bCs/>
      <w:kern w:val="44"/>
      <w:sz w:val="44"/>
      <w:szCs w:val="44"/>
    </w:rPr>
  </w:style>
  <w:style w:type="paragraph" w:styleId="21">
    <w:name w:val="List Paragraph"/>
    <w:basedOn w:val="1"/>
    <w:qFormat/>
    <w:uiPriority w:val="34"/>
    <w:pPr>
      <w:ind w:firstLine="420" w:firstLineChars="200"/>
    </w:pPr>
  </w:style>
  <w:style w:type="character" w:customStyle="1" w:styleId="22">
    <w:name w:val="批注框文本 Char"/>
    <w:basedOn w:val="15"/>
    <w:link w:val="7"/>
    <w:autoRedefine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23">
    <w:name w:val="页眉 Char"/>
    <w:basedOn w:val="15"/>
    <w:link w:val="9"/>
    <w:autoRedefine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24">
    <w:name w:val="页脚 Char"/>
    <w:basedOn w:val="15"/>
    <w:link w:val="8"/>
    <w:autoRedefine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2" Type="http://schemas.openxmlformats.org/officeDocument/2006/relationships/fontTable" Target="fontTable.xml"/><Relationship Id="rId71" Type="http://schemas.openxmlformats.org/officeDocument/2006/relationships/numbering" Target="numbering.xml"/><Relationship Id="rId70" Type="http://schemas.openxmlformats.org/officeDocument/2006/relationships/image" Target="media/image67.png"/><Relationship Id="rId7" Type="http://schemas.openxmlformats.org/officeDocument/2006/relationships/image" Target="media/image4.png"/><Relationship Id="rId69" Type="http://schemas.openxmlformats.org/officeDocument/2006/relationships/image" Target="media/image66.png"/><Relationship Id="rId68" Type="http://schemas.openxmlformats.org/officeDocument/2006/relationships/image" Target="media/image65.pn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22</Pages>
  <Words>609</Words>
  <Characters>3472</Characters>
  <Lines>28</Lines>
  <Paragraphs>8</Paragraphs>
  <TotalTime>0</TotalTime>
  <ScaleCrop>false</ScaleCrop>
  <LinksUpToDate>false</LinksUpToDate>
  <CharactersWithSpaces>4073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2022-11-10T06:03:00Z</dcterms:created>
  <dc:creator>十二</dc:creator>
  <cp:lastModifiedBy>WPS_1661831130</cp:lastModifiedBy>
  <dcterms:modified xsi:type="dcterms:W3CDTF">2024-01-22T03:11:53Z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36429FE8006B4679AA8934293F0C8CA7</vt:lpwstr>
  </property>
</Properties>
</file>